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FA39" w14:textId="2C450EBA" w:rsidR="003026B0" w:rsidRPr="006B26B7" w:rsidRDefault="003026B0" w:rsidP="003026B0">
      <w:pPr>
        <w:pStyle w:val="NormalWeb"/>
        <w:spacing w:before="0" w:beforeAutospacing="0" w:after="240" w:afterAutospacing="0"/>
        <w:jc w:val="center"/>
        <w:rPr>
          <w:b/>
          <w:color w:val="auto"/>
        </w:rPr>
      </w:pPr>
      <w:r w:rsidRPr="006B26B7">
        <w:rPr>
          <w:b/>
          <w:color w:val="auto"/>
        </w:rPr>
        <w:t xml:space="preserve">ORDINANCE </w:t>
      </w:r>
      <w:r w:rsidR="000B2D3B">
        <w:rPr>
          <w:b/>
          <w:color w:val="auto"/>
        </w:rPr>
        <w:t>#2161-2026</w:t>
      </w:r>
    </w:p>
    <w:p w14:paraId="1CEBDA8E" w14:textId="2D4896F9" w:rsidR="00A44C87" w:rsidRPr="00717EAC" w:rsidRDefault="00A44C87" w:rsidP="00F9496D">
      <w:pPr>
        <w:spacing w:after="240"/>
        <w:jc w:val="center"/>
        <w:rPr>
          <w:rFonts w:ascii="Times New Roman" w:hAnsi="Times New Roman" w:cs="Times New Roman"/>
          <w:b/>
          <w:caps/>
          <w:sz w:val="24"/>
          <w:szCs w:val="24"/>
        </w:rPr>
      </w:pPr>
      <w:r w:rsidRPr="006B26B7">
        <w:rPr>
          <w:rFonts w:ascii="Times New Roman" w:hAnsi="Times New Roman" w:cs="Times New Roman"/>
          <w:b/>
          <w:caps/>
          <w:sz w:val="24"/>
          <w:szCs w:val="24"/>
        </w:rPr>
        <w:t xml:space="preserve">AN ORDINANCE </w:t>
      </w:r>
      <w:r w:rsidR="004473CA">
        <w:rPr>
          <w:rFonts w:ascii="Times New Roman" w:hAnsi="Times New Roman" w:cs="Times New Roman"/>
          <w:b/>
          <w:caps/>
          <w:sz w:val="24"/>
          <w:szCs w:val="24"/>
        </w:rPr>
        <w:t>AMENDING sECTION 233-</w:t>
      </w:r>
      <w:proofErr w:type="gramStart"/>
      <w:r w:rsidR="00F9496D">
        <w:rPr>
          <w:rFonts w:ascii="Times New Roman" w:hAnsi="Times New Roman" w:cs="Times New Roman"/>
          <w:b/>
          <w:caps/>
          <w:sz w:val="24"/>
          <w:szCs w:val="24"/>
        </w:rPr>
        <w:t>83</w:t>
      </w:r>
      <w:r w:rsidR="006D63AC">
        <w:rPr>
          <w:rFonts w:ascii="Times New Roman" w:hAnsi="Times New Roman" w:cs="Times New Roman"/>
          <w:b/>
          <w:caps/>
          <w:sz w:val="24"/>
          <w:szCs w:val="24"/>
        </w:rPr>
        <w:t>.O</w:t>
      </w:r>
      <w:proofErr w:type="gramEnd"/>
      <w:r w:rsidR="00F9496D">
        <w:rPr>
          <w:rFonts w:ascii="Times New Roman" w:hAnsi="Times New Roman" w:cs="Times New Roman"/>
          <w:b/>
          <w:caps/>
          <w:sz w:val="24"/>
          <w:szCs w:val="24"/>
        </w:rPr>
        <w:t xml:space="preserve"> and section 233-78</w:t>
      </w:r>
      <w:r w:rsidR="006D63AC">
        <w:rPr>
          <w:rFonts w:ascii="Times New Roman" w:hAnsi="Times New Roman" w:cs="Times New Roman"/>
          <w:b/>
          <w:caps/>
          <w:sz w:val="24"/>
          <w:szCs w:val="24"/>
        </w:rPr>
        <w:t>.C</w:t>
      </w:r>
      <w:r w:rsidR="00F9496D">
        <w:rPr>
          <w:rFonts w:ascii="Times New Roman" w:hAnsi="Times New Roman" w:cs="Times New Roman"/>
          <w:b/>
          <w:caps/>
          <w:sz w:val="24"/>
          <w:szCs w:val="24"/>
        </w:rPr>
        <w:t xml:space="preserve"> </w:t>
      </w:r>
      <w:r w:rsidR="004473CA">
        <w:rPr>
          <w:rFonts w:ascii="Times New Roman" w:hAnsi="Times New Roman" w:cs="Times New Roman"/>
          <w:b/>
          <w:caps/>
          <w:sz w:val="24"/>
          <w:szCs w:val="24"/>
        </w:rPr>
        <w:t xml:space="preserve">OF </w:t>
      </w:r>
      <w:r w:rsidR="00F9496D">
        <w:rPr>
          <w:rFonts w:ascii="Times New Roman" w:hAnsi="Times New Roman" w:cs="Times New Roman"/>
          <w:b/>
          <w:caps/>
          <w:sz w:val="24"/>
          <w:szCs w:val="24"/>
        </w:rPr>
        <w:t xml:space="preserve">chapter 233, land management, of </w:t>
      </w:r>
      <w:r w:rsidR="004473CA">
        <w:rPr>
          <w:rFonts w:ascii="Times New Roman" w:hAnsi="Times New Roman" w:cs="Times New Roman"/>
          <w:b/>
          <w:caps/>
          <w:sz w:val="24"/>
          <w:szCs w:val="24"/>
        </w:rPr>
        <w:t xml:space="preserve">THE TOWNSHIP CODE REGARDING </w:t>
      </w:r>
      <w:r w:rsidR="00F9496D">
        <w:rPr>
          <w:rFonts w:ascii="Times New Roman" w:hAnsi="Times New Roman" w:cs="Times New Roman"/>
          <w:b/>
          <w:caps/>
          <w:sz w:val="24"/>
          <w:szCs w:val="24"/>
        </w:rPr>
        <w:t>affordable housing obligations within the pinelands management area</w:t>
      </w:r>
    </w:p>
    <w:p w14:paraId="338E2B4D" w14:textId="286A4242" w:rsidR="009E637B" w:rsidRDefault="002C64D0" w:rsidP="00DA1492">
      <w:pPr>
        <w:jc w:val="both"/>
        <w:rPr>
          <w:rFonts w:ascii="Times New Roman" w:hAnsi="Times New Roman" w:cs="Times New Roman"/>
          <w:sz w:val="24"/>
          <w:szCs w:val="24"/>
        </w:rPr>
      </w:pPr>
      <w:r w:rsidRPr="00717EAC">
        <w:rPr>
          <w:rFonts w:ascii="Times New Roman" w:hAnsi="Times New Roman" w:cs="Times New Roman"/>
          <w:b/>
          <w:bCs/>
          <w:sz w:val="24"/>
          <w:szCs w:val="24"/>
        </w:rPr>
        <w:tab/>
        <w:t xml:space="preserve">WHEREAS, </w:t>
      </w:r>
      <w:r w:rsidR="009E637B" w:rsidRPr="00F9496D">
        <w:rPr>
          <w:rFonts w:ascii="Times New Roman" w:hAnsi="Times New Roman" w:cs="Times New Roman"/>
          <w:sz w:val="24"/>
          <w:szCs w:val="24"/>
        </w:rPr>
        <w:t>in 1975</w:t>
      </w:r>
      <w:r w:rsidR="009E637B">
        <w:rPr>
          <w:rFonts w:ascii="Times New Roman" w:hAnsi="Times New Roman" w:cs="Times New Roman"/>
          <w:sz w:val="24"/>
          <w:szCs w:val="24"/>
        </w:rPr>
        <w:t>, the New Jersey Courts announced in Southern Burlington County N.A.A.C.P., et al, v. Township of Mount Laurel, 67 N.J. 151 (1975), that New Jersey municipalities have a constitutional obligation to affirmatively plan and provide for its fair share of affordable housing for low- and moderate-income households; and</w:t>
      </w:r>
    </w:p>
    <w:p w14:paraId="2E315212" w14:textId="1B479C2D" w:rsidR="009E637B" w:rsidRPr="00F9496D" w:rsidRDefault="009E637B" w:rsidP="00F9496D">
      <w:pPr>
        <w:ind w:firstLine="720"/>
        <w:jc w:val="both"/>
        <w:rPr>
          <w:rFonts w:ascii="Times New Roman" w:hAnsi="Times New Roman" w:cs="Times New Roman"/>
          <w:sz w:val="24"/>
          <w:szCs w:val="24"/>
        </w:rPr>
      </w:pPr>
      <w:r w:rsidRPr="00717EAC">
        <w:rPr>
          <w:rFonts w:ascii="Times New Roman" w:hAnsi="Times New Roman" w:cs="Times New Roman"/>
          <w:b/>
          <w:bCs/>
          <w:sz w:val="24"/>
          <w:szCs w:val="24"/>
        </w:rPr>
        <w:t xml:space="preserve">WHEREAS, </w:t>
      </w:r>
      <w:r>
        <w:rPr>
          <w:rFonts w:ascii="Times New Roman" w:hAnsi="Times New Roman" w:cs="Times New Roman"/>
          <w:sz w:val="24"/>
          <w:szCs w:val="24"/>
        </w:rPr>
        <w:t>the New Jersey Legislature codified this constitutional obligation in 1985 through the adoption of the Fair Housing Act, N.J.S.A. 52:27D-301, et seq. (“FHA”); and</w:t>
      </w:r>
    </w:p>
    <w:p w14:paraId="5B01A25B" w14:textId="26516F11" w:rsidR="00806CD3" w:rsidRDefault="00467BC3" w:rsidP="00467BC3">
      <w:pPr>
        <w:spacing w:after="240"/>
        <w:jc w:val="both"/>
        <w:rPr>
          <w:rFonts w:ascii="Times New Roman" w:hAnsi="Times New Roman" w:cs="Times New Roman"/>
          <w:color w:val="000000" w:themeColor="text1"/>
          <w:sz w:val="24"/>
          <w:szCs w:val="24"/>
          <w:shd w:val="clear" w:color="auto" w:fill="FFFFFF"/>
        </w:rPr>
      </w:pPr>
      <w:r w:rsidRPr="00717EAC">
        <w:rPr>
          <w:rFonts w:ascii="Times New Roman" w:hAnsi="Times New Roman" w:cs="Times New Roman"/>
          <w:b/>
          <w:caps/>
          <w:color w:val="000000" w:themeColor="text1"/>
          <w:sz w:val="24"/>
          <w:szCs w:val="24"/>
        </w:rPr>
        <w:tab/>
      </w:r>
      <w:r w:rsidRPr="00717EAC">
        <w:rPr>
          <w:rFonts w:ascii="Times New Roman" w:hAnsi="Times New Roman" w:cs="Times New Roman"/>
          <w:b/>
          <w:bCs/>
          <w:color w:val="000000" w:themeColor="text1"/>
          <w:sz w:val="24"/>
          <w:szCs w:val="24"/>
        </w:rPr>
        <w:t xml:space="preserve">WHEREAS, </w:t>
      </w:r>
      <w:r w:rsidR="00E27BAA">
        <w:rPr>
          <w:rFonts w:ascii="Times New Roman" w:hAnsi="Times New Roman" w:cs="Times New Roman"/>
          <w:color w:val="000000" w:themeColor="text1"/>
          <w:sz w:val="24"/>
          <w:szCs w:val="24"/>
        </w:rPr>
        <w:t xml:space="preserve">on March 20, 2024, the New Jersey Legislature adopted an amendment to the </w:t>
      </w:r>
      <w:r w:rsidR="009E637B">
        <w:rPr>
          <w:rFonts w:ascii="Times New Roman" w:hAnsi="Times New Roman" w:cs="Times New Roman"/>
          <w:color w:val="000000" w:themeColor="text1"/>
          <w:sz w:val="24"/>
          <w:szCs w:val="24"/>
        </w:rPr>
        <w:t xml:space="preserve">FHA, </w:t>
      </w:r>
      <w:r w:rsidR="00E27BAA">
        <w:rPr>
          <w:rFonts w:ascii="Times New Roman" w:hAnsi="Times New Roman" w:cs="Times New Roman"/>
          <w:color w:val="000000" w:themeColor="text1"/>
          <w:sz w:val="24"/>
          <w:szCs w:val="24"/>
        </w:rPr>
        <w:t>which abolish</w:t>
      </w:r>
      <w:r w:rsidR="00F9496D">
        <w:rPr>
          <w:rFonts w:ascii="Times New Roman" w:hAnsi="Times New Roman" w:cs="Times New Roman"/>
          <w:color w:val="000000" w:themeColor="text1"/>
          <w:sz w:val="24"/>
          <w:szCs w:val="24"/>
        </w:rPr>
        <w:t>ed</w:t>
      </w:r>
      <w:r w:rsidR="00E27BAA">
        <w:rPr>
          <w:rFonts w:ascii="Times New Roman" w:hAnsi="Times New Roman" w:cs="Times New Roman"/>
          <w:color w:val="000000" w:themeColor="text1"/>
          <w:sz w:val="24"/>
          <w:szCs w:val="24"/>
        </w:rPr>
        <w:t xml:space="preserve"> the Council on Affordable Housing (“COAH”), created an Affordable Housing Dispute Resolution Program within the Courts</w:t>
      </w:r>
      <w:r w:rsidR="009E637B">
        <w:rPr>
          <w:rFonts w:ascii="Times New Roman" w:hAnsi="Times New Roman" w:cs="Times New Roman"/>
          <w:color w:val="000000" w:themeColor="text1"/>
          <w:sz w:val="24"/>
          <w:szCs w:val="24"/>
        </w:rPr>
        <w:t xml:space="preserve"> (the “Program”)</w:t>
      </w:r>
      <w:r w:rsidR="00E27BAA">
        <w:rPr>
          <w:rFonts w:ascii="Times New Roman" w:hAnsi="Times New Roman" w:cs="Times New Roman"/>
          <w:color w:val="000000" w:themeColor="text1"/>
          <w:sz w:val="24"/>
          <w:szCs w:val="24"/>
        </w:rPr>
        <w:t>, and codif</w:t>
      </w:r>
      <w:r w:rsidR="00F9496D">
        <w:rPr>
          <w:rFonts w:ascii="Times New Roman" w:hAnsi="Times New Roman" w:cs="Times New Roman"/>
          <w:color w:val="000000" w:themeColor="text1"/>
          <w:sz w:val="24"/>
          <w:szCs w:val="24"/>
        </w:rPr>
        <w:t>ied</w:t>
      </w:r>
      <w:r w:rsidR="00E27BAA">
        <w:rPr>
          <w:rFonts w:ascii="Times New Roman" w:hAnsi="Times New Roman" w:cs="Times New Roman"/>
          <w:color w:val="000000" w:themeColor="text1"/>
          <w:sz w:val="24"/>
          <w:szCs w:val="24"/>
        </w:rPr>
        <w:t xml:space="preserve"> standards for complying with a municipality’s affordable housing obligation</w:t>
      </w:r>
      <w:r w:rsidR="001E2D2B">
        <w:rPr>
          <w:rFonts w:ascii="Times New Roman" w:hAnsi="Times New Roman" w:cs="Times New Roman"/>
          <w:color w:val="000000" w:themeColor="text1"/>
          <w:sz w:val="24"/>
          <w:szCs w:val="24"/>
        </w:rPr>
        <w:t xml:space="preserve"> (“FHA Amendments”)</w:t>
      </w:r>
      <w:r>
        <w:rPr>
          <w:rFonts w:ascii="Times New Roman" w:hAnsi="Times New Roman" w:cs="Times New Roman"/>
          <w:color w:val="000000" w:themeColor="text1"/>
          <w:sz w:val="24"/>
          <w:szCs w:val="24"/>
          <w:shd w:val="clear" w:color="auto" w:fill="FFFFFF"/>
        </w:rPr>
        <w:t>; and</w:t>
      </w:r>
    </w:p>
    <w:p w14:paraId="1FB5D9D9" w14:textId="2F4FC96A" w:rsidR="001E2D2B" w:rsidRDefault="001E2D2B" w:rsidP="00467BC3">
      <w:pPr>
        <w:spacing w:after="24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proofErr w:type="gramStart"/>
      <w:r w:rsidRPr="00717EAC">
        <w:rPr>
          <w:rFonts w:ascii="Times New Roman" w:hAnsi="Times New Roman" w:cs="Times New Roman"/>
          <w:b/>
          <w:bCs/>
          <w:color w:val="000000" w:themeColor="text1"/>
          <w:sz w:val="24"/>
          <w:szCs w:val="24"/>
        </w:rPr>
        <w:t>WHEREAS,</w:t>
      </w:r>
      <w:proofErr w:type="gramEnd"/>
      <w:r w:rsidRPr="00717EAC">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Department of Community Affairs adopted regulations set forth at </w:t>
      </w:r>
      <w:r w:rsidRPr="00F9496D">
        <w:rPr>
          <w:rFonts w:ascii="Times New Roman" w:hAnsi="Times New Roman" w:cs="Times New Roman"/>
          <w:color w:val="000000" w:themeColor="text1"/>
          <w:sz w:val="24"/>
          <w:szCs w:val="24"/>
          <w:u w:val="single"/>
        </w:rPr>
        <w:t>N.J.A.C.</w:t>
      </w:r>
      <w:r>
        <w:rPr>
          <w:rFonts w:ascii="Times New Roman" w:hAnsi="Times New Roman" w:cs="Times New Roman"/>
          <w:color w:val="000000" w:themeColor="text1"/>
          <w:sz w:val="24"/>
          <w:szCs w:val="24"/>
        </w:rPr>
        <w:t xml:space="preserve"> 5:99-1 et seq. (“Affordable Housing Regulations”), implementing the FHA Amendments and the New Jersey Housing and Mortgage Finance Agency also adopted amendment to the Uniform Housing Affordability Controls, </w:t>
      </w:r>
      <w:r w:rsidRPr="00F9496D">
        <w:rPr>
          <w:rFonts w:ascii="Times New Roman" w:hAnsi="Times New Roman" w:cs="Times New Roman"/>
          <w:color w:val="000000" w:themeColor="text1"/>
          <w:sz w:val="24"/>
          <w:szCs w:val="24"/>
          <w:u w:val="single"/>
        </w:rPr>
        <w:t>N.J.A.C.</w:t>
      </w:r>
      <w:r>
        <w:rPr>
          <w:rFonts w:ascii="Times New Roman" w:hAnsi="Times New Roman" w:cs="Times New Roman"/>
          <w:color w:val="000000" w:themeColor="text1"/>
          <w:sz w:val="24"/>
          <w:szCs w:val="24"/>
        </w:rPr>
        <w:t xml:space="preserve"> 5:80-26.1 et seq. (“UHAC”) to implement the FHA Amendments; and</w:t>
      </w:r>
    </w:p>
    <w:p w14:paraId="35D5EAE5" w14:textId="7BE573AE" w:rsidR="009E637B" w:rsidRDefault="009E637B" w:rsidP="00467BC3">
      <w:pPr>
        <w:spacing w:after="24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Pr="00717EAC">
        <w:rPr>
          <w:rFonts w:ascii="Times New Roman" w:hAnsi="Times New Roman" w:cs="Times New Roman"/>
          <w:b/>
          <w:bCs/>
          <w:color w:val="000000" w:themeColor="text1"/>
          <w:sz w:val="24"/>
          <w:szCs w:val="24"/>
        </w:rPr>
        <w:t xml:space="preserve">WHEREAS, </w:t>
      </w:r>
      <w:r w:rsidRPr="00F9496D">
        <w:rPr>
          <w:rFonts w:ascii="Times New Roman" w:hAnsi="Times New Roman" w:cs="Times New Roman"/>
          <w:color w:val="000000" w:themeColor="text1"/>
          <w:sz w:val="24"/>
          <w:szCs w:val="24"/>
          <w:u w:val="single"/>
        </w:rPr>
        <w:t xml:space="preserve">N.J.S.A. </w:t>
      </w:r>
      <w:r>
        <w:rPr>
          <w:rFonts w:ascii="Times New Roman" w:hAnsi="Times New Roman" w:cs="Times New Roman"/>
          <w:color w:val="000000" w:themeColor="text1"/>
          <w:sz w:val="24"/>
          <w:szCs w:val="24"/>
        </w:rPr>
        <w:t>52:27D-304.1(f)(2)(</w:t>
      </w:r>
      <w:r w:rsidR="001E2D2B">
        <w:rPr>
          <w:rFonts w:ascii="Times New Roman" w:hAnsi="Times New Roman" w:cs="Times New Roman"/>
          <w:color w:val="000000" w:themeColor="text1"/>
          <w:sz w:val="24"/>
          <w:szCs w:val="24"/>
        </w:rPr>
        <w:t xml:space="preserve">a) requires municipalities seeking to participate in the Program and secure immunity from exclusionary zoning lawsuits to prepare and adopt a housing element and fair share plan that sets forth a plan for providing for a municipality’s fair share of affordable housing, and </w:t>
      </w:r>
      <w:r w:rsidR="001E2D2B" w:rsidRPr="00F9496D">
        <w:rPr>
          <w:rFonts w:ascii="Times New Roman" w:hAnsi="Times New Roman" w:cs="Times New Roman"/>
          <w:color w:val="000000" w:themeColor="text1"/>
          <w:sz w:val="24"/>
          <w:szCs w:val="24"/>
          <w:u w:val="single"/>
        </w:rPr>
        <w:t xml:space="preserve">N.J.S.A. </w:t>
      </w:r>
      <w:r w:rsidR="001E2D2B">
        <w:rPr>
          <w:rFonts w:ascii="Times New Roman" w:hAnsi="Times New Roman" w:cs="Times New Roman"/>
          <w:color w:val="000000" w:themeColor="text1"/>
          <w:sz w:val="24"/>
          <w:szCs w:val="24"/>
        </w:rPr>
        <w:t>52:27D-304.1(f)(2)(c) requires municipalities to adopt ordinances to implement the housing element and fair share plan; and</w:t>
      </w:r>
    </w:p>
    <w:p w14:paraId="595BA5FB" w14:textId="1D1EB592" w:rsidR="002C64D0" w:rsidRDefault="00717EAC" w:rsidP="00A44C87">
      <w:pPr>
        <w:spacing w:after="240"/>
        <w:ind w:firstLine="720"/>
        <w:jc w:val="both"/>
        <w:rPr>
          <w:rFonts w:ascii="Times New Roman" w:hAnsi="Times New Roman" w:cs="Times New Roman"/>
          <w:color w:val="000000" w:themeColor="text1"/>
          <w:sz w:val="24"/>
          <w:szCs w:val="24"/>
        </w:rPr>
      </w:pPr>
      <w:r w:rsidRPr="00717EAC">
        <w:rPr>
          <w:rFonts w:ascii="Times New Roman" w:hAnsi="Times New Roman" w:cs="Times New Roman"/>
          <w:b/>
          <w:bCs/>
          <w:color w:val="000000" w:themeColor="text1"/>
          <w:sz w:val="24"/>
          <w:szCs w:val="24"/>
        </w:rPr>
        <w:t xml:space="preserve">WHEREAS, </w:t>
      </w:r>
      <w:r>
        <w:rPr>
          <w:rFonts w:ascii="Times New Roman" w:hAnsi="Times New Roman" w:cs="Times New Roman"/>
          <w:color w:val="000000" w:themeColor="text1"/>
          <w:sz w:val="24"/>
          <w:szCs w:val="24"/>
        </w:rPr>
        <w:t xml:space="preserve">pursuant to that authority, </w:t>
      </w:r>
      <w:r w:rsidR="001E2D2B">
        <w:rPr>
          <w:rFonts w:ascii="Times New Roman" w:hAnsi="Times New Roman" w:cs="Times New Roman"/>
          <w:color w:val="000000" w:themeColor="text1"/>
          <w:sz w:val="24"/>
          <w:szCs w:val="24"/>
        </w:rPr>
        <w:t xml:space="preserve">and the authority set forth in the Municipal Land Use Law, </w:t>
      </w:r>
      <w:r w:rsidR="001E2D2B" w:rsidRPr="00F9496D">
        <w:rPr>
          <w:rFonts w:ascii="Times New Roman" w:hAnsi="Times New Roman" w:cs="Times New Roman"/>
          <w:color w:val="000000" w:themeColor="text1"/>
          <w:sz w:val="24"/>
          <w:szCs w:val="24"/>
          <w:u w:val="single"/>
        </w:rPr>
        <w:t xml:space="preserve">N.J.S.A. </w:t>
      </w:r>
      <w:r w:rsidR="001E2D2B">
        <w:rPr>
          <w:rFonts w:ascii="Times New Roman" w:hAnsi="Times New Roman" w:cs="Times New Roman"/>
          <w:color w:val="000000" w:themeColor="text1"/>
          <w:sz w:val="24"/>
          <w:szCs w:val="24"/>
        </w:rPr>
        <w:t>40:55D-1 et seq. (“MLUL”) to adopt zoning ordinances, the Township previously zoning within the Pinelands Area to permit inclusionary affordable housing developments within the Pinelands Management areas within the Township by way of Ordinance No. 1993-2018, adopted on August 14, 2018 (“Pinelands Zoning”);</w:t>
      </w:r>
      <w:r>
        <w:rPr>
          <w:rFonts w:ascii="Times New Roman" w:hAnsi="Times New Roman" w:cs="Times New Roman"/>
          <w:color w:val="000000" w:themeColor="text1"/>
          <w:sz w:val="24"/>
          <w:szCs w:val="24"/>
        </w:rPr>
        <w:t xml:space="preserve"> and</w:t>
      </w:r>
    </w:p>
    <w:p w14:paraId="78BDAB7B" w14:textId="5EBE5DB8" w:rsidR="00717EAC" w:rsidRDefault="00717EAC" w:rsidP="00A44C87">
      <w:pPr>
        <w:spacing w:after="240"/>
        <w:ind w:firstLine="720"/>
        <w:jc w:val="both"/>
        <w:rPr>
          <w:rFonts w:ascii="Times New Roman" w:hAnsi="Times New Roman" w:cs="Times New Roman"/>
          <w:color w:val="000000" w:themeColor="text1"/>
          <w:sz w:val="24"/>
          <w:szCs w:val="24"/>
        </w:rPr>
      </w:pPr>
      <w:r w:rsidRPr="00717EAC">
        <w:rPr>
          <w:rFonts w:ascii="Times New Roman" w:hAnsi="Times New Roman" w:cs="Times New Roman"/>
          <w:b/>
          <w:bCs/>
          <w:color w:val="000000" w:themeColor="text1"/>
          <w:sz w:val="24"/>
          <w:szCs w:val="24"/>
        </w:rPr>
        <w:t>WHEREAS,</w:t>
      </w:r>
      <w:r>
        <w:rPr>
          <w:rFonts w:ascii="Times New Roman" w:hAnsi="Times New Roman" w:cs="Times New Roman"/>
          <w:color w:val="000000" w:themeColor="text1"/>
          <w:sz w:val="24"/>
          <w:szCs w:val="24"/>
        </w:rPr>
        <w:t xml:space="preserve"> </w:t>
      </w:r>
      <w:r w:rsidR="001E2D2B">
        <w:rPr>
          <w:rFonts w:ascii="Times New Roman" w:hAnsi="Times New Roman" w:cs="Times New Roman"/>
          <w:color w:val="000000" w:themeColor="text1"/>
          <w:sz w:val="24"/>
          <w:szCs w:val="24"/>
        </w:rPr>
        <w:t>the Pineland Zoning must be updated to reflect the changes set forth in the FHA, the Affordable Housing Regulations and the amendments to UHAC</w:t>
      </w:r>
      <w:r w:rsidR="009C2598">
        <w:rPr>
          <w:rFonts w:ascii="Times New Roman" w:hAnsi="Times New Roman" w:cs="Times New Roman"/>
          <w:color w:val="000000" w:themeColor="text1"/>
          <w:sz w:val="24"/>
          <w:szCs w:val="24"/>
        </w:rPr>
        <w:t>; and</w:t>
      </w:r>
    </w:p>
    <w:p w14:paraId="6DCFD0E8" w14:textId="147343FE" w:rsidR="00806CD3" w:rsidRDefault="009C2598" w:rsidP="00A44C87">
      <w:pPr>
        <w:spacing w:after="240"/>
        <w:ind w:firstLine="720"/>
        <w:jc w:val="both"/>
        <w:rPr>
          <w:rFonts w:ascii="Times New Roman" w:hAnsi="Times New Roman" w:cs="Times New Roman"/>
          <w:b/>
          <w:sz w:val="24"/>
          <w:szCs w:val="24"/>
        </w:rPr>
      </w:pPr>
      <w:r w:rsidRPr="00717EAC">
        <w:rPr>
          <w:rFonts w:ascii="Times New Roman" w:hAnsi="Times New Roman" w:cs="Times New Roman"/>
          <w:b/>
          <w:bCs/>
          <w:color w:val="000000" w:themeColor="text1"/>
          <w:sz w:val="24"/>
          <w:szCs w:val="24"/>
        </w:rPr>
        <w:t>WHEREAS,</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the Township Council has determined that it is in the best interest of the Township of Galloway to amend Section 233-</w:t>
      </w:r>
      <w:r w:rsidR="001A3A4C">
        <w:rPr>
          <w:rFonts w:ascii="Times New Roman" w:hAnsi="Times New Roman" w:cs="Times New Roman"/>
          <w:color w:val="000000" w:themeColor="text1"/>
          <w:sz w:val="24"/>
          <w:szCs w:val="24"/>
        </w:rPr>
        <w:t>78</w:t>
      </w:r>
      <w:r w:rsidR="00F9496D" w:rsidRPr="00F9496D">
        <w:rPr>
          <w:rFonts w:ascii="Times New Roman" w:hAnsi="Times New Roman" w:cs="Times New Roman"/>
          <w:bCs/>
          <w:sz w:val="24"/>
          <w:szCs w:val="24"/>
        </w:rPr>
        <w:t xml:space="preserve"> </w:t>
      </w:r>
      <w:r w:rsidR="00F9496D">
        <w:rPr>
          <w:rFonts w:ascii="Times New Roman" w:hAnsi="Times New Roman" w:cs="Times New Roman"/>
          <w:bCs/>
          <w:sz w:val="24"/>
          <w:szCs w:val="24"/>
        </w:rPr>
        <w:t>C.(1)(a)[1][j]</w:t>
      </w:r>
      <w:r w:rsidR="001A3A4C">
        <w:rPr>
          <w:rFonts w:ascii="Times New Roman" w:hAnsi="Times New Roman" w:cs="Times New Roman"/>
          <w:color w:val="000000" w:themeColor="text1"/>
          <w:sz w:val="24"/>
          <w:szCs w:val="24"/>
        </w:rPr>
        <w:t xml:space="preserve"> and Section 233-83.O</w:t>
      </w:r>
      <w:r w:rsidR="00E132A0">
        <w:rPr>
          <w:rFonts w:ascii="Times New Roman" w:hAnsi="Times New Roman" w:cs="Times New Roman"/>
          <w:color w:val="000000" w:themeColor="text1"/>
          <w:sz w:val="24"/>
          <w:szCs w:val="24"/>
        </w:rPr>
        <w:t xml:space="preserve"> of Article X, Pinelands Area Standards, Chapter 233, “Land Management” of the Township Code</w:t>
      </w:r>
      <w:r>
        <w:rPr>
          <w:rFonts w:ascii="Times New Roman" w:hAnsi="Times New Roman" w:cs="Times New Roman"/>
          <w:color w:val="000000" w:themeColor="text1"/>
          <w:sz w:val="24"/>
          <w:szCs w:val="24"/>
        </w:rPr>
        <w:t xml:space="preserve"> to reflect the current laws as they relate to </w:t>
      </w:r>
      <w:r w:rsidR="001A3A4C">
        <w:rPr>
          <w:rFonts w:ascii="Times New Roman" w:hAnsi="Times New Roman" w:cs="Times New Roman"/>
          <w:color w:val="000000" w:themeColor="text1"/>
          <w:sz w:val="24"/>
          <w:szCs w:val="24"/>
        </w:rPr>
        <w:t>the provision of affordable housing</w:t>
      </w:r>
      <w:r>
        <w:rPr>
          <w:rFonts w:ascii="Times New Roman" w:hAnsi="Times New Roman" w:cs="Times New Roman"/>
          <w:color w:val="000000" w:themeColor="text1"/>
          <w:sz w:val="24"/>
          <w:szCs w:val="24"/>
        </w:rPr>
        <w:t>.</w:t>
      </w:r>
    </w:p>
    <w:p w14:paraId="1E1CA6E6" w14:textId="77777777" w:rsidR="00A820B3" w:rsidRPr="006B26B7" w:rsidRDefault="00A820B3" w:rsidP="00A44C87">
      <w:pPr>
        <w:spacing w:after="240"/>
        <w:ind w:firstLine="720"/>
        <w:jc w:val="both"/>
        <w:rPr>
          <w:rFonts w:ascii="Times New Roman" w:hAnsi="Times New Roman" w:cs="Times New Roman"/>
          <w:bCs/>
          <w:sz w:val="24"/>
          <w:szCs w:val="24"/>
        </w:rPr>
      </w:pPr>
      <w:r w:rsidRPr="006B26B7">
        <w:rPr>
          <w:rFonts w:ascii="Times New Roman" w:hAnsi="Times New Roman" w:cs="Times New Roman"/>
          <w:b/>
          <w:sz w:val="24"/>
          <w:szCs w:val="24"/>
        </w:rPr>
        <w:lastRenderedPageBreak/>
        <w:t xml:space="preserve">NOW THEREFORE BE IT ORDAINED </w:t>
      </w:r>
      <w:r w:rsidRPr="006B26B7">
        <w:rPr>
          <w:rFonts w:ascii="Times New Roman" w:hAnsi="Times New Roman" w:cs="Times New Roman"/>
          <w:bCs/>
          <w:sz w:val="24"/>
          <w:szCs w:val="24"/>
        </w:rPr>
        <w:t>by the Township Council of the Township of Galloway as follows:</w:t>
      </w:r>
    </w:p>
    <w:p w14:paraId="1FD31796" w14:textId="1F8172D6" w:rsidR="00A44C87" w:rsidRPr="006B26B7" w:rsidRDefault="00A44C87" w:rsidP="00A44C87">
      <w:pPr>
        <w:spacing w:after="240"/>
        <w:ind w:firstLine="720"/>
        <w:jc w:val="both"/>
        <w:rPr>
          <w:rFonts w:ascii="Times New Roman" w:hAnsi="Times New Roman" w:cs="Times New Roman"/>
          <w:bCs/>
          <w:sz w:val="24"/>
          <w:szCs w:val="24"/>
        </w:rPr>
      </w:pPr>
      <w:r w:rsidRPr="006B26B7">
        <w:rPr>
          <w:rFonts w:ascii="Times New Roman" w:hAnsi="Times New Roman" w:cs="Times New Roman"/>
          <w:b/>
          <w:sz w:val="24"/>
          <w:szCs w:val="24"/>
        </w:rPr>
        <w:t>BE IT ORDAINED</w:t>
      </w:r>
      <w:r w:rsidRPr="006B26B7">
        <w:rPr>
          <w:rFonts w:ascii="Times New Roman" w:hAnsi="Times New Roman" w:cs="Times New Roman"/>
          <w:bCs/>
          <w:sz w:val="24"/>
          <w:szCs w:val="24"/>
        </w:rPr>
        <w:t xml:space="preserve">, by the Township </w:t>
      </w:r>
      <w:r w:rsidR="00A820B3" w:rsidRPr="006B26B7">
        <w:rPr>
          <w:rFonts w:ascii="Times New Roman" w:hAnsi="Times New Roman" w:cs="Times New Roman"/>
          <w:bCs/>
          <w:sz w:val="24"/>
          <w:szCs w:val="24"/>
        </w:rPr>
        <w:t>Council</w:t>
      </w:r>
      <w:r w:rsidRPr="006B26B7">
        <w:rPr>
          <w:rFonts w:ascii="Times New Roman" w:hAnsi="Times New Roman" w:cs="Times New Roman"/>
          <w:bCs/>
          <w:sz w:val="24"/>
          <w:szCs w:val="24"/>
        </w:rPr>
        <w:t xml:space="preserve"> of the Township of </w:t>
      </w:r>
      <w:r w:rsidR="004E197B">
        <w:rPr>
          <w:rFonts w:ascii="Times New Roman" w:hAnsi="Times New Roman" w:cs="Times New Roman"/>
          <w:bCs/>
          <w:sz w:val="24"/>
          <w:szCs w:val="24"/>
        </w:rPr>
        <w:t>Galloway</w:t>
      </w:r>
      <w:r w:rsidRPr="006B26B7">
        <w:rPr>
          <w:rFonts w:ascii="Times New Roman" w:hAnsi="Times New Roman" w:cs="Times New Roman"/>
          <w:bCs/>
          <w:sz w:val="24"/>
          <w:szCs w:val="24"/>
        </w:rPr>
        <w:t>, in the County of Atlantic, New Jersey as follows:</w:t>
      </w:r>
    </w:p>
    <w:p w14:paraId="312F474A" w14:textId="6B12A1ED" w:rsidR="00FC774B" w:rsidRDefault="00A820B3" w:rsidP="006B26B7">
      <w:pPr>
        <w:numPr>
          <w:ilvl w:val="0"/>
          <w:numId w:val="9"/>
        </w:numPr>
        <w:spacing w:after="240"/>
        <w:ind w:left="0" w:firstLine="720"/>
        <w:jc w:val="both"/>
        <w:rPr>
          <w:rFonts w:ascii="Times New Roman" w:hAnsi="Times New Roman" w:cs="Times New Roman"/>
          <w:bCs/>
          <w:sz w:val="24"/>
          <w:szCs w:val="24"/>
        </w:rPr>
      </w:pPr>
      <w:r w:rsidRPr="00A820B3">
        <w:rPr>
          <w:rFonts w:ascii="Times New Roman" w:hAnsi="Times New Roman" w:cs="Times New Roman"/>
          <w:bCs/>
          <w:sz w:val="24"/>
          <w:szCs w:val="24"/>
        </w:rPr>
        <w:t xml:space="preserve">The Township hereby </w:t>
      </w:r>
      <w:r w:rsidRPr="006B26B7">
        <w:rPr>
          <w:rFonts w:ascii="Times New Roman" w:hAnsi="Times New Roman" w:cs="Times New Roman"/>
          <w:bCs/>
          <w:sz w:val="24"/>
          <w:szCs w:val="24"/>
        </w:rPr>
        <w:t xml:space="preserve">amends </w:t>
      </w:r>
      <w:r w:rsidR="00FC774B">
        <w:rPr>
          <w:rFonts w:ascii="Times New Roman" w:hAnsi="Times New Roman" w:cs="Times New Roman"/>
          <w:bCs/>
          <w:sz w:val="24"/>
          <w:szCs w:val="24"/>
        </w:rPr>
        <w:t>Section 233-</w:t>
      </w:r>
      <w:proofErr w:type="gramStart"/>
      <w:r w:rsidR="00FC774B">
        <w:rPr>
          <w:rFonts w:ascii="Times New Roman" w:hAnsi="Times New Roman" w:cs="Times New Roman"/>
          <w:bCs/>
          <w:sz w:val="24"/>
          <w:szCs w:val="24"/>
        </w:rPr>
        <w:t>78.C.</w:t>
      </w:r>
      <w:proofErr w:type="gramEnd"/>
      <w:r w:rsidR="00FC774B">
        <w:rPr>
          <w:rFonts w:ascii="Times New Roman" w:hAnsi="Times New Roman" w:cs="Times New Roman"/>
          <w:bCs/>
          <w:sz w:val="24"/>
          <w:szCs w:val="24"/>
        </w:rPr>
        <w:t>(1)(a)[1][j],</w:t>
      </w:r>
      <w:r w:rsidR="00FC774B" w:rsidRPr="006B26B7">
        <w:rPr>
          <w:rFonts w:ascii="Times New Roman" w:hAnsi="Times New Roman" w:cs="Times New Roman"/>
          <w:bCs/>
          <w:sz w:val="24"/>
          <w:szCs w:val="24"/>
        </w:rPr>
        <w:t xml:space="preserve"> </w:t>
      </w:r>
      <w:r w:rsidR="00FC774B">
        <w:rPr>
          <w:rFonts w:ascii="Times New Roman" w:hAnsi="Times New Roman" w:cs="Times New Roman"/>
          <w:bCs/>
          <w:sz w:val="24"/>
          <w:szCs w:val="24"/>
        </w:rPr>
        <w:t>“RG Regional Growth District,”</w:t>
      </w:r>
      <w:r w:rsidR="00FC774B" w:rsidRPr="006B26B7">
        <w:rPr>
          <w:rFonts w:ascii="Times New Roman" w:hAnsi="Times New Roman" w:cs="Times New Roman"/>
          <w:bCs/>
          <w:sz w:val="24"/>
          <w:szCs w:val="24"/>
        </w:rPr>
        <w:t xml:space="preserve"> </w:t>
      </w:r>
      <w:r w:rsidR="00FC774B">
        <w:rPr>
          <w:rFonts w:ascii="Times New Roman" w:hAnsi="Times New Roman" w:cs="Times New Roman"/>
          <w:bCs/>
          <w:sz w:val="24"/>
          <w:szCs w:val="24"/>
        </w:rPr>
        <w:t xml:space="preserve">of Article X, “Pinelands Area Standards,” of Chapter 233, “Land Management,” </w:t>
      </w:r>
      <w:r w:rsidRPr="006B26B7">
        <w:rPr>
          <w:rFonts w:ascii="Times New Roman" w:hAnsi="Times New Roman" w:cs="Times New Roman"/>
          <w:bCs/>
          <w:sz w:val="24"/>
          <w:szCs w:val="24"/>
        </w:rPr>
        <w:t xml:space="preserve">of the Code of the Township of Galloway </w:t>
      </w:r>
      <w:r w:rsidR="00FC774B">
        <w:rPr>
          <w:rFonts w:ascii="Times New Roman" w:hAnsi="Times New Roman" w:cs="Times New Roman"/>
          <w:bCs/>
          <w:sz w:val="24"/>
          <w:szCs w:val="24"/>
        </w:rPr>
        <w:t>to replace subsection [j] in its entirety with the following</w:t>
      </w:r>
      <w:r w:rsidR="00052663">
        <w:rPr>
          <w:rFonts w:ascii="Times New Roman" w:hAnsi="Times New Roman" w:cs="Times New Roman"/>
          <w:bCs/>
          <w:sz w:val="24"/>
          <w:szCs w:val="24"/>
        </w:rPr>
        <w:t>:</w:t>
      </w:r>
    </w:p>
    <w:p w14:paraId="09A7ADE8" w14:textId="671B3382" w:rsidR="00FC774B" w:rsidRDefault="00FC774B" w:rsidP="00F9496D">
      <w:pPr>
        <w:tabs>
          <w:tab w:val="left" w:pos="1710"/>
        </w:tabs>
        <w:spacing w:after="240"/>
        <w:ind w:left="720" w:right="720"/>
        <w:jc w:val="both"/>
        <w:rPr>
          <w:rFonts w:ascii="Times New Roman" w:hAnsi="Times New Roman" w:cs="Times New Roman"/>
          <w:bCs/>
          <w:sz w:val="24"/>
          <w:szCs w:val="24"/>
        </w:rPr>
      </w:pPr>
      <w:r>
        <w:rPr>
          <w:rFonts w:ascii="Times New Roman" w:hAnsi="Times New Roman" w:cs="Times New Roman"/>
          <w:bCs/>
          <w:sz w:val="24"/>
          <w:szCs w:val="24"/>
        </w:rPr>
        <w:t>[j]</w:t>
      </w:r>
      <w:r>
        <w:rPr>
          <w:rFonts w:ascii="Times New Roman" w:hAnsi="Times New Roman" w:cs="Times New Roman"/>
          <w:bCs/>
          <w:sz w:val="24"/>
          <w:szCs w:val="24"/>
        </w:rPr>
        <w:tab/>
        <w:t>Any development efforts sponsored by the Township of Galloway undertaken to comply with the requirements of the Fair Housing Act, N.J.S.A. 52:27D-301, et seq., the Fair Housing Regulations, N.J.A.C. 5:99- 1 et seq., or the Uniform Housing Affordability Controls, N.J.A.C. 5:80-26.1 et seq. or in accordance with the Housing Element and Fair Share Plan adopted by the Planning Board shall be exempt from the provisions of this subsection.</w:t>
      </w:r>
    </w:p>
    <w:p w14:paraId="1185B133" w14:textId="21606D6F" w:rsidR="00A820B3" w:rsidRPr="00FC774B" w:rsidRDefault="00052663" w:rsidP="00FC774B">
      <w:pPr>
        <w:numPr>
          <w:ilvl w:val="0"/>
          <w:numId w:val="9"/>
        </w:numPr>
        <w:spacing w:after="240"/>
        <w:ind w:left="0" w:firstLine="72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C774B" w:rsidRPr="00A820B3">
        <w:rPr>
          <w:rFonts w:ascii="Times New Roman" w:hAnsi="Times New Roman" w:cs="Times New Roman"/>
          <w:bCs/>
          <w:sz w:val="24"/>
          <w:szCs w:val="24"/>
        </w:rPr>
        <w:t xml:space="preserve">The Township hereby </w:t>
      </w:r>
      <w:r w:rsidR="00FC774B" w:rsidRPr="006B26B7">
        <w:rPr>
          <w:rFonts w:ascii="Times New Roman" w:hAnsi="Times New Roman" w:cs="Times New Roman"/>
          <w:bCs/>
          <w:sz w:val="24"/>
          <w:szCs w:val="24"/>
        </w:rPr>
        <w:t xml:space="preserve">amends </w:t>
      </w:r>
      <w:r w:rsidR="00FC774B">
        <w:rPr>
          <w:rFonts w:ascii="Times New Roman" w:hAnsi="Times New Roman" w:cs="Times New Roman"/>
          <w:bCs/>
          <w:sz w:val="24"/>
          <w:szCs w:val="24"/>
        </w:rPr>
        <w:t>Section 233-</w:t>
      </w:r>
      <w:proofErr w:type="gramStart"/>
      <w:r w:rsidR="00FC774B">
        <w:rPr>
          <w:rFonts w:ascii="Times New Roman" w:hAnsi="Times New Roman" w:cs="Times New Roman"/>
          <w:bCs/>
          <w:sz w:val="24"/>
          <w:szCs w:val="24"/>
        </w:rPr>
        <w:t>83.O</w:t>
      </w:r>
      <w:proofErr w:type="gramEnd"/>
      <w:r w:rsidR="00FC774B">
        <w:rPr>
          <w:rFonts w:ascii="Times New Roman" w:hAnsi="Times New Roman" w:cs="Times New Roman"/>
          <w:bCs/>
          <w:sz w:val="24"/>
          <w:szCs w:val="24"/>
        </w:rPr>
        <w:t>, “</w:t>
      </w:r>
      <w:r w:rsidR="00E132A0">
        <w:rPr>
          <w:rFonts w:ascii="Times New Roman" w:hAnsi="Times New Roman" w:cs="Times New Roman"/>
          <w:bCs/>
          <w:sz w:val="24"/>
          <w:szCs w:val="24"/>
        </w:rPr>
        <w:t>Development Regulations</w:t>
      </w:r>
      <w:r w:rsidR="00FC774B">
        <w:rPr>
          <w:rFonts w:ascii="Times New Roman" w:hAnsi="Times New Roman" w:cs="Times New Roman"/>
          <w:bCs/>
          <w:sz w:val="24"/>
          <w:szCs w:val="24"/>
        </w:rPr>
        <w:t>,”</w:t>
      </w:r>
      <w:r w:rsidR="00FC774B" w:rsidRPr="006B26B7">
        <w:rPr>
          <w:rFonts w:ascii="Times New Roman" w:hAnsi="Times New Roman" w:cs="Times New Roman"/>
          <w:bCs/>
          <w:sz w:val="24"/>
          <w:szCs w:val="24"/>
        </w:rPr>
        <w:t xml:space="preserve"> </w:t>
      </w:r>
      <w:r w:rsidR="00FC774B">
        <w:rPr>
          <w:rFonts w:ascii="Times New Roman" w:hAnsi="Times New Roman" w:cs="Times New Roman"/>
          <w:bCs/>
          <w:sz w:val="24"/>
          <w:szCs w:val="24"/>
        </w:rPr>
        <w:t xml:space="preserve">of Article X, “Pinelands Area Standards,” of Chapter 233, “Land Management,” </w:t>
      </w:r>
      <w:r w:rsidR="00FC774B" w:rsidRPr="006B26B7">
        <w:rPr>
          <w:rFonts w:ascii="Times New Roman" w:hAnsi="Times New Roman" w:cs="Times New Roman"/>
          <w:bCs/>
          <w:sz w:val="24"/>
          <w:szCs w:val="24"/>
        </w:rPr>
        <w:t xml:space="preserve">of the Code of the Township of Galloway </w:t>
      </w:r>
      <w:r w:rsidR="00FC774B">
        <w:rPr>
          <w:rFonts w:ascii="Times New Roman" w:hAnsi="Times New Roman" w:cs="Times New Roman"/>
          <w:bCs/>
          <w:sz w:val="24"/>
          <w:szCs w:val="24"/>
        </w:rPr>
        <w:t xml:space="preserve">to replace subsection </w:t>
      </w:r>
      <w:r w:rsidR="00F9496D">
        <w:rPr>
          <w:rFonts w:ascii="Times New Roman" w:hAnsi="Times New Roman" w:cs="Times New Roman"/>
          <w:bCs/>
          <w:sz w:val="24"/>
          <w:szCs w:val="24"/>
        </w:rPr>
        <w:t>O.</w:t>
      </w:r>
      <w:r w:rsidR="00FC774B">
        <w:rPr>
          <w:rFonts w:ascii="Times New Roman" w:hAnsi="Times New Roman" w:cs="Times New Roman"/>
          <w:bCs/>
          <w:sz w:val="24"/>
          <w:szCs w:val="24"/>
        </w:rPr>
        <w:t xml:space="preserve"> in its entirety with </w:t>
      </w:r>
      <w:r w:rsidR="00E132A0">
        <w:rPr>
          <w:rFonts w:ascii="Times New Roman" w:hAnsi="Times New Roman" w:cs="Times New Roman"/>
          <w:bCs/>
          <w:sz w:val="24"/>
          <w:szCs w:val="24"/>
        </w:rPr>
        <w:t>Exhibit A attached hereto</w:t>
      </w:r>
      <w:r w:rsidR="00FC774B">
        <w:rPr>
          <w:rFonts w:ascii="Times New Roman" w:hAnsi="Times New Roman" w:cs="Times New Roman"/>
          <w:bCs/>
          <w:sz w:val="24"/>
          <w:szCs w:val="24"/>
        </w:rPr>
        <w:t>:</w:t>
      </w:r>
    </w:p>
    <w:p w14:paraId="5CA99278" w14:textId="651E8C7E" w:rsidR="006B26B7" w:rsidRDefault="00C411ED" w:rsidP="00F9496D">
      <w:pPr>
        <w:pStyle w:val="ListParagraph"/>
        <w:numPr>
          <w:ilvl w:val="0"/>
          <w:numId w:val="9"/>
        </w:numPr>
        <w:spacing w:after="240"/>
        <w:ind w:left="0" w:firstLine="1080"/>
        <w:jc w:val="both"/>
        <w:rPr>
          <w:rFonts w:ascii="Times New Roman" w:hAnsi="Times New Roman" w:cs="Times New Roman"/>
          <w:bCs/>
          <w:sz w:val="24"/>
          <w:szCs w:val="24"/>
        </w:rPr>
      </w:pPr>
      <w:r w:rsidRPr="00F9496D">
        <w:rPr>
          <w:rFonts w:ascii="Times New Roman" w:hAnsi="Times New Roman" w:cs="Times New Roman"/>
          <w:bCs/>
          <w:sz w:val="24"/>
          <w:szCs w:val="24"/>
        </w:rPr>
        <w:t>All ordinances or parts of ordinances inconsistent with this Ordinance are hereby repealed to the extent of such inconsistency.</w:t>
      </w:r>
    </w:p>
    <w:p w14:paraId="5198493D" w14:textId="77777777" w:rsidR="00E132A0" w:rsidRPr="00F9496D" w:rsidRDefault="00E132A0" w:rsidP="00F9496D">
      <w:pPr>
        <w:pStyle w:val="ListParagraph"/>
        <w:spacing w:after="240"/>
        <w:ind w:left="0" w:firstLine="1080"/>
        <w:jc w:val="both"/>
        <w:rPr>
          <w:rFonts w:ascii="Times New Roman" w:hAnsi="Times New Roman" w:cs="Times New Roman"/>
          <w:bCs/>
          <w:sz w:val="24"/>
          <w:szCs w:val="24"/>
        </w:rPr>
      </w:pPr>
    </w:p>
    <w:p w14:paraId="4AD7D1BA" w14:textId="3C12473F" w:rsidR="006B26B7" w:rsidRPr="00DA1492" w:rsidRDefault="00C411ED" w:rsidP="00F9496D">
      <w:pPr>
        <w:pStyle w:val="ListParagraph"/>
        <w:numPr>
          <w:ilvl w:val="0"/>
          <w:numId w:val="9"/>
        </w:numPr>
        <w:spacing w:after="240"/>
        <w:ind w:left="0" w:firstLine="1080"/>
        <w:jc w:val="both"/>
        <w:rPr>
          <w:rFonts w:ascii="Times New Roman" w:hAnsi="Times New Roman" w:cs="Times New Roman"/>
          <w:bCs/>
          <w:sz w:val="24"/>
          <w:szCs w:val="24"/>
        </w:rPr>
      </w:pPr>
      <w:r w:rsidRPr="00DA1492">
        <w:rPr>
          <w:rFonts w:ascii="Times New Roman" w:hAnsi="Times New Roman" w:cs="Times New Roman"/>
          <w:sz w:val="24"/>
          <w:szCs w:val="24"/>
        </w:rPr>
        <w:t>In the event any clause, section</w:t>
      </w:r>
      <w:r w:rsidR="006B26B7" w:rsidRPr="00DA1492">
        <w:rPr>
          <w:rFonts w:ascii="Times New Roman" w:hAnsi="Times New Roman" w:cs="Times New Roman"/>
          <w:sz w:val="24"/>
          <w:szCs w:val="24"/>
        </w:rPr>
        <w:t>,</w:t>
      </w:r>
      <w:r w:rsidRPr="00DA1492">
        <w:rPr>
          <w:rFonts w:ascii="Times New Roman" w:hAnsi="Times New Roman" w:cs="Times New Roman"/>
          <w:sz w:val="24"/>
          <w:szCs w:val="24"/>
        </w:rPr>
        <w:t xml:space="preserve"> or paragraph of the Ordinance is deemed invalid or unenforceable for any reason, it is the intent of the Township Council that the balance of the Ordinance remains in full force and effect to the extent it allows the Township to meet the goals of the Ordinance.</w:t>
      </w:r>
    </w:p>
    <w:p w14:paraId="610A1603" w14:textId="77777777" w:rsidR="000B2D3B" w:rsidRPr="0011519E" w:rsidRDefault="00C411ED" w:rsidP="00F9496D">
      <w:pPr>
        <w:numPr>
          <w:ilvl w:val="0"/>
          <w:numId w:val="9"/>
        </w:numPr>
        <w:spacing w:after="240"/>
        <w:ind w:left="0" w:firstLine="1080"/>
        <w:jc w:val="both"/>
        <w:rPr>
          <w:rFonts w:ascii="Times New Roman" w:hAnsi="Times New Roman" w:cs="Times New Roman"/>
        </w:rPr>
      </w:pPr>
      <w:r w:rsidRPr="0011519E">
        <w:rPr>
          <w:rFonts w:ascii="Times New Roman" w:hAnsi="Times New Roman" w:cs="Times New Roman"/>
        </w:rPr>
        <w:t>This Ordinance shall take effect after final adoption and publication according to law.</w:t>
      </w:r>
      <w:r w:rsidR="000B2D3B" w:rsidRPr="0011519E">
        <w:rPr>
          <w:rFonts w:ascii="Times New Roman" w:hAnsi="Times New Roman" w:cs="Times New Roman"/>
        </w:rPr>
        <w:t xml:space="preserve">                                                                                  </w:t>
      </w:r>
    </w:p>
    <w:tbl>
      <w:tblPr>
        <w:tblpPr w:leftFromText="171" w:rightFromText="171" w:bottomFromText="35" w:vertAnchor="text" w:horzAnchor="margin" w:tblpXSpec="right" w:tblpY="1011"/>
        <w:tblW w:w="0" w:type="auto"/>
        <w:tblLayout w:type="fixed"/>
        <w:tblCellMar>
          <w:left w:w="0" w:type="dxa"/>
          <w:right w:w="0" w:type="dxa"/>
        </w:tblCellMar>
        <w:tblLook w:val="04A0" w:firstRow="1" w:lastRow="0" w:firstColumn="1" w:lastColumn="0" w:noHBand="0" w:noVBand="1"/>
      </w:tblPr>
      <w:tblGrid>
        <w:gridCol w:w="1202"/>
        <w:gridCol w:w="1205"/>
        <w:gridCol w:w="623"/>
        <w:gridCol w:w="646"/>
        <w:gridCol w:w="1161"/>
        <w:gridCol w:w="1028"/>
      </w:tblGrid>
      <w:tr w:rsidR="000B2D3B" w:rsidRPr="000B2D3B" w14:paraId="5A1D647E" w14:textId="77777777" w:rsidTr="0011519E">
        <w:trPr>
          <w:trHeight w:val="571"/>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FB598A" w14:textId="77777777" w:rsidR="000B2D3B" w:rsidRPr="000B2D3B" w:rsidRDefault="000B2D3B" w:rsidP="0011519E">
            <w:pPr>
              <w:spacing w:after="0" w:line="276" w:lineRule="auto"/>
              <w:rPr>
                <w:rFonts w:ascii="Times New Roman" w:eastAsia="Calibri" w:hAnsi="Times New Roman" w:cs="Times New Roman"/>
                <w:sz w:val="18"/>
                <w:szCs w:val="18"/>
              </w:rPr>
            </w:pPr>
            <w:r w:rsidRPr="000B2D3B">
              <w:rPr>
                <w:rFonts w:ascii="Times New Roman" w:eastAsia="Calibri" w:hAnsi="Times New Roman" w:cs="Times New Roman"/>
                <w:sz w:val="18"/>
                <w:szCs w:val="18"/>
              </w:rPr>
              <w:t>Recorded Vote:</w:t>
            </w:r>
          </w:p>
        </w:tc>
        <w:tc>
          <w:tcPr>
            <w:tcW w:w="12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A6F060" w14:textId="77777777" w:rsidR="000B2D3B" w:rsidRPr="000B2D3B" w:rsidRDefault="000B2D3B" w:rsidP="0011519E">
            <w:pPr>
              <w:spacing w:after="0" w:line="276" w:lineRule="auto"/>
              <w:jc w:val="center"/>
              <w:rPr>
                <w:rFonts w:ascii="Times New Roman" w:eastAsia="Calibri" w:hAnsi="Times New Roman" w:cs="Times New Roman"/>
                <w:sz w:val="18"/>
                <w:szCs w:val="18"/>
              </w:rPr>
            </w:pPr>
            <w:r w:rsidRPr="000B2D3B">
              <w:rPr>
                <w:rFonts w:ascii="Times New Roman" w:eastAsia="Calibri" w:hAnsi="Times New Roman" w:cs="Times New Roman"/>
                <w:sz w:val="18"/>
                <w:szCs w:val="18"/>
              </w:rPr>
              <w:t>MOTIONS</w:t>
            </w:r>
          </w:p>
        </w:tc>
        <w:tc>
          <w:tcPr>
            <w:tcW w:w="6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608CA2" w14:textId="77777777" w:rsidR="000B2D3B" w:rsidRPr="000B2D3B" w:rsidRDefault="000B2D3B" w:rsidP="0011519E">
            <w:pPr>
              <w:spacing w:after="0" w:line="276" w:lineRule="auto"/>
              <w:jc w:val="center"/>
              <w:rPr>
                <w:rFonts w:ascii="Times New Roman" w:eastAsia="Calibri" w:hAnsi="Times New Roman" w:cs="Times New Roman"/>
                <w:sz w:val="18"/>
                <w:szCs w:val="18"/>
              </w:rPr>
            </w:pPr>
            <w:r w:rsidRPr="000B2D3B">
              <w:rPr>
                <w:rFonts w:ascii="Times New Roman" w:eastAsia="Calibri" w:hAnsi="Times New Roman" w:cs="Times New Roman"/>
                <w:sz w:val="18"/>
                <w:szCs w:val="18"/>
              </w:rPr>
              <w:t>AYE</w:t>
            </w: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000322" w14:textId="77777777" w:rsidR="000B2D3B" w:rsidRPr="000B2D3B" w:rsidRDefault="000B2D3B" w:rsidP="0011519E">
            <w:pPr>
              <w:spacing w:after="0" w:line="276" w:lineRule="auto"/>
              <w:jc w:val="center"/>
              <w:rPr>
                <w:rFonts w:ascii="Times New Roman" w:eastAsia="Calibri" w:hAnsi="Times New Roman" w:cs="Times New Roman"/>
                <w:sz w:val="18"/>
                <w:szCs w:val="18"/>
              </w:rPr>
            </w:pPr>
            <w:r w:rsidRPr="000B2D3B">
              <w:rPr>
                <w:rFonts w:ascii="Times New Roman" w:eastAsia="Calibri" w:hAnsi="Times New Roman" w:cs="Times New Roman"/>
                <w:sz w:val="18"/>
                <w:szCs w:val="18"/>
              </w:rPr>
              <w:t>NAY</w:t>
            </w:r>
          </w:p>
        </w:tc>
        <w:tc>
          <w:tcPr>
            <w:tcW w:w="11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8518DA" w14:textId="77777777" w:rsidR="000B2D3B" w:rsidRPr="000B2D3B" w:rsidRDefault="000B2D3B" w:rsidP="0011519E">
            <w:pPr>
              <w:spacing w:after="0" w:line="276" w:lineRule="auto"/>
              <w:jc w:val="center"/>
              <w:rPr>
                <w:rFonts w:ascii="Times New Roman" w:eastAsia="Calibri" w:hAnsi="Times New Roman" w:cs="Times New Roman"/>
                <w:sz w:val="18"/>
                <w:szCs w:val="18"/>
              </w:rPr>
            </w:pPr>
            <w:r w:rsidRPr="000B2D3B">
              <w:rPr>
                <w:rFonts w:ascii="Times New Roman" w:eastAsia="Calibri" w:hAnsi="Times New Roman" w:cs="Times New Roman"/>
                <w:sz w:val="18"/>
                <w:szCs w:val="18"/>
              </w:rPr>
              <w:t>ABSTAIN</w:t>
            </w:r>
          </w:p>
        </w:tc>
        <w:tc>
          <w:tcPr>
            <w:tcW w:w="10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73372" w14:textId="77777777" w:rsidR="000B2D3B" w:rsidRPr="000B2D3B" w:rsidRDefault="000B2D3B" w:rsidP="0011519E">
            <w:pPr>
              <w:spacing w:after="0" w:line="276" w:lineRule="auto"/>
              <w:jc w:val="center"/>
              <w:rPr>
                <w:rFonts w:ascii="Times New Roman" w:eastAsia="Calibri" w:hAnsi="Times New Roman" w:cs="Times New Roman"/>
                <w:sz w:val="18"/>
                <w:szCs w:val="18"/>
              </w:rPr>
            </w:pPr>
            <w:r w:rsidRPr="000B2D3B">
              <w:rPr>
                <w:rFonts w:ascii="Times New Roman" w:eastAsia="Calibri" w:hAnsi="Times New Roman" w:cs="Times New Roman"/>
                <w:sz w:val="18"/>
                <w:szCs w:val="18"/>
              </w:rPr>
              <w:t>ABSENT</w:t>
            </w:r>
          </w:p>
        </w:tc>
      </w:tr>
      <w:tr w:rsidR="000B2D3B" w:rsidRPr="000B2D3B" w14:paraId="61D5D8F6" w14:textId="77777777" w:rsidTr="0011519E">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A52BF0" w14:textId="77777777" w:rsidR="000B2D3B" w:rsidRPr="000B2D3B" w:rsidRDefault="000B2D3B" w:rsidP="0011519E">
            <w:pPr>
              <w:spacing w:after="0" w:line="276" w:lineRule="auto"/>
              <w:rPr>
                <w:rFonts w:ascii="Times New Roman" w:eastAsia="Calibri" w:hAnsi="Times New Roman" w:cs="Times New Roman"/>
                <w:sz w:val="24"/>
                <w:szCs w:val="24"/>
              </w:rPr>
            </w:pPr>
            <w:r w:rsidRPr="000B2D3B">
              <w:rPr>
                <w:rFonts w:ascii="Times New Roman" w:eastAsia="Calibri" w:hAnsi="Times New Roman" w:cs="Times New Roman"/>
                <w:sz w:val="24"/>
                <w:szCs w:val="24"/>
              </w:rPr>
              <w:t>Amato</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3F935AD2" w14:textId="77777777" w:rsidR="000B2D3B" w:rsidRPr="000B2D3B" w:rsidRDefault="000B2D3B" w:rsidP="0011519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131012D1" w14:textId="77777777" w:rsidR="000B2D3B" w:rsidRPr="000B2D3B" w:rsidRDefault="000B2D3B" w:rsidP="0011519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6AAE9E4F"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47FC3A5B"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32577FFD"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r>
      <w:tr w:rsidR="000B2D3B" w:rsidRPr="000B2D3B" w14:paraId="0F6D114F" w14:textId="77777777" w:rsidTr="0011519E">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F13D37" w14:textId="77777777" w:rsidR="000B2D3B" w:rsidRPr="000B2D3B" w:rsidRDefault="000B2D3B" w:rsidP="0011519E">
            <w:pPr>
              <w:spacing w:after="0" w:line="276" w:lineRule="auto"/>
              <w:rPr>
                <w:rFonts w:ascii="Times New Roman" w:eastAsia="Calibri" w:hAnsi="Times New Roman" w:cs="Times New Roman"/>
                <w:sz w:val="24"/>
                <w:szCs w:val="24"/>
              </w:rPr>
            </w:pPr>
            <w:r w:rsidRPr="000B2D3B">
              <w:rPr>
                <w:rFonts w:ascii="Times New Roman" w:eastAsia="Calibri" w:hAnsi="Times New Roman" w:cs="Times New Roman"/>
                <w:sz w:val="24"/>
                <w:szCs w:val="24"/>
              </w:rPr>
              <w:t>Clute</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38C65DBE"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2D07180B" w14:textId="77777777" w:rsidR="000B2D3B" w:rsidRPr="000B2D3B" w:rsidRDefault="000B2D3B" w:rsidP="0011519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0432258E"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12D77DF9"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70087493"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r>
      <w:tr w:rsidR="000B2D3B" w:rsidRPr="000B2D3B" w14:paraId="045B7E1E" w14:textId="77777777" w:rsidTr="0011519E">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3DB85F" w14:textId="77777777" w:rsidR="000B2D3B" w:rsidRPr="000B2D3B" w:rsidRDefault="000B2D3B" w:rsidP="0011519E">
            <w:pPr>
              <w:spacing w:after="0" w:line="276" w:lineRule="auto"/>
              <w:rPr>
                <w:rFonts w:ascii="Times New Roman" w:eastAsia="Calibri" w:hAnsi="Times New Roman" w:cs="Times New Roman"/>
                <w:sz w:val="24"/>
                <w:szCs w:val="24"/>
              </w:rPr>
            </w:pPr>
            <w:r w:rsidRPr="000B2D3B">
              <w:rPr>
                <w:rFonts w:ascii="Times New Roman" w:eastAsia="Calibri" w:hAnsi="Times New Roman" w:cs="Times New Roman"/>
                <w:sz w:val="24"/>
                <w:szCs w:val="24"/>
              </w:rPr>
              <w:t>DiPietro</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68D708F3" w14:textId="77777777" w:rsidR="000B2D3B" w:rsidRPr="000B2D3B" w:rsidRDefault="000B2D3B" w:rsidP="0011519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1C7F3675" w14:textId="77777777" w:rsidR="000B2D3B" w:rsidRPr="000B2D3B" w:rsidRDefault="000B2D3B" w:rsidP="0011519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5758FAB9"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0B976B58"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4AFDC42B"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r>
      <w:tr w:rsidR="000B2D3B" w:rsidRPr="000B2D3B" w14:paraId="524583E0" w14:textId="77777777" w:rsidTr="0011519E">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01E5DE" w14:textId="77777777" w:rsidR="000B2D3B" w:rsidRPr="000B2D3B" w:rsidRDefault="000B2D3B" w:rsidP="0011519E">
            <w:pPr>
              <w:spacing w:after="0" w:line="276" w:lineRule="auto"/>
              <w:rPr>
                <w:rFonts w:ascii="Times New Roman" w:eastAsia="Calibri" w:hAnsi="Times New Roman" w:cs="Times New Roman"/>
                <w:sz w:val="24"/>
                <w:szCs w:val="24"/>
              </w:rPr>
            </w:pPr>
            <w:r w:rsidRPr="000B2D3B">
              <w:rPr>
                <w:rFonts w:ascii="Times New Roman" w:eastAsia="Calibri" w:hAnsi="Times New Roman" w:cs="Times New Roman"/>
                <w:sz w:val="24"/>
                <w:szCs w:val="24"/>
              </w:rPr>
              <w:t>Goldberg</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74DC4C7D"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426F4541" w14:textId="77777777" w:rsidR="000B2D3B" w:rsidRPr="000B2D3B" w:rsidRDefault="000B2D3B" w:rsidP="0011519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41C0B38B"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18B4A8AD"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65B7ABC5"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r>
      <w:tr w:rsidR="000B2D3B" w:rsidRPr="000B2D3B" w14:paraId="4F1DF353" w14:textId="77777777" w:rsidTr="0011519E">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E10403" w14:textId="77777777" w:rsidR="000B2D3B" w:rsidRPr="000B2D3B" w:rsidRDefault="000B2D3B" w:rsidP="0011519E">
            <w:pPr>
              <w:spacing w:after="0" w:line="276" w:lineRule="auto"/>
              <w:rPr>
                <w:rFonts w:ascii="Times New Roman" w:eastAsia="Calibri" w:hAnsi="Times New Roman" w:cs="Times New Roman"/>
                <w:sz w:val="24"/>
                <w:szCs w:val="24"/>
              </w:rPr>
            </w:pPr>
            <w:r w:rsidRPr="000B2D3B">
              <w:rPr>
                <w:rFonts w:ascii="Times New Roman" w:eastAsia="Calibri" w:hAnsi="Times New Roman" w:cs="Times New Roman"/>
                <w:sz w:val="24"/>
                <w:szCs w:val="24"/>
              </w:rPr>
              <w:t>Jordan</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0663C68D"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3CC4D26F" w14:textId="77777777" w:rsidR="000B2D3B" w:rsidRPr="000B2D3B" w:rsidRDefault="000B2D3B" w:rsidP="0011519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65C9C38A"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085F6F76"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5043ABAD"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r>
      <w:tr w:rsidR="000B2D3B" w:rsidRPr="000B2D3B" w14:paraId="766A44D8" w14:textId="77777777" w:rsidTr="0011519E">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0C8B12" w14:textId="77777777" w:rsidR="000B2D3B" w:rsidRPr="000B2D3B" w:rsidRDefault="000B2D3B" w:rsidP="0011519E">
            <w:pPr>
              <w:spacing w:after="0" w:line="276" w:lineRule="auto"/>
              <w:rPr>
                <w:rFonts w:ascii="Times New Roman" w:eastAsia="Calibri" w:hAnsi="Times New Roman" w:cs="Times New Roman"/>
                <w:sz w:val="24"/>
                <w:szCs w:val="24"/>
              </w:rPr>
            </w:pPr>
            <w:r w:rsidRPr="000B2D3B">
              <w:rPr>
                <w:rFonts w:ascii="Times New Roman" w:eastAsia="Calibri" w:hAnsi="Times New Roman" w:cs="Times New Roman"/>
                <w:sz w:val="24"/>
                <w:szCs w:val="24"/>
              </w:rPr>
              <w:t>Pratt</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3B401C2A"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25853CF1" w14:textId="77777777" w:rsidR="000B2D3B" w:rsidRPr="000B2D3B" w:rsidRDefault="000B2D3B" w:rsidP="0011519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037FC08C"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570A69EA"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458E128B"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r>
      <w:tr w:rsidR="000B2D3B" w:rsidRPr="000B2D3B" w14:paraId="08A96787" w14:textId="77777777" w:rsidTr="0011519E">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E01751" w14:textId="77777777" w:rsidR="000B2D3B" w:rsidRPr="000B2D3B" w:rsidRDefault="000B2D3B" w:rsidP="0011519E">
            <w:pPr>
              <w:spacing w:after="0" w:line="276" w:lineRule="auto"/>
              <w:rPr>
                <w:rFonts w:ascii="Times New Roman" w:eastAsia="Calibri" w:hAnsi="Times New Roman" w:cs="Times New Roman"/>
                <w:sz w:val="24"/>
                <w:szCs w:val="24"/>
              </w:rPr>
            </w:pPr>
            <w:r w:rsidRPr="000B2D3B">
              <w:rPr>
                <w:rFonts w:ascii="Times New Roman" w:eastAsia="Calibri" w:hAnsi="Times New Roman" w:cs="Times New Roman"/>
                <w:sz w:val="24"/>
                <w:szCs w:val="24"/>
              </w:rPr>
              <w:t>Coppola</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60EB5A36"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3FF0B703"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10A9CF6D"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5D873A33" w14:textId="77777777" w:rsidR="000B2D3B" w:rsidRPr="000B2D3B" w:rsidRDefault="000B2D3B" w:rsidP="0011519E">
            <w:pPr>
              <w:spacing w:after="0" w:line="276" w:lineRule="auto"/>
              <w:jc w:val="center"/>
              <w:rPr>
                <w:rFonts w:ascii="Times New Roman" w:eastAsia="Calibri" w:hAnsi="Times New Roman" w:cs="Times New Roman"/>
                <w:sz w:val="24"/>
                <w:szCs w:val="24"/>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27D099CF" w14:textId="77777777" w:rsidR="000B2D3B" w:rsidRPr="000B2D3B" w:rsidRDefault="000B2D3B" w:rsidP="0011519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r>
    </w:tbl>
    <w:p w14:paraId="40F85A40" w14:textId="27A6AC76" w:rsidR="0011519E" w:rsidRPr="002C5BCA" w:rsidRDefault="0011519E" w:rsidP="000B2D3B">
      <w:pPr>
        <w:rPr>
          <w:b/>
        </w:rPr>
      </w:pPr>
      <w:r w:rsidRPr="002C5BCA">
        <w:rPr>
          <w:b/>
        </w:rPr>
        <w:t>NOTICE IS HEREBY GIVEN</w:t>
      </w:r>
      <w:r w:rsidRPr="002C5BCA">
        <w:t xml:space="preserve"> that the foregoing Ordinance was introduced and passed first reading at a meeting of the Township Council of the Township of Galloway, County of Atlantic and State of New Jersey, held on February 10, </w:t>
      </w:r>
      <w:proofErr w:type="gramStart"/>
      <w:r w:rsidRPr="002C5BCA">
        <w:t>2026</w:t>
      </w:r>
      <w:proofErr w:type="gramEnd"/>
      <w:r w:rsidRPr="002C5BCA">
        <w:t xml:space="preserve"> and said Ordinance was adopted on February 24th at 6:30 PM</w:t>
      </w:r>
    </w:p>
    <w:p w14:paraId="4AE99577" w14:textId="77777777" w:rsidR="0011519E" w:rsidRDefault="0011519E" w:rsidP="000B2D3B">
      <w:pPr>
        <w:rPr>
          <w:b/>
          <w:sz w:val="24"/>
          <w:szCs w:val="24"/>
        </w:rPr>
      </w:pPr>
    </w:p>
    <w:p w14:paraId="6FDAAF74" w14:textId="12AB2650" w:rsidR="000B2D3B" w:rsidRPr="000A6BDA" w:rsidRDefault="000B2D3B" w:rsidP="000B2D3B">
      <w:pPr>
        <w:rPr>
          <w:sz w:val="24"/>
          <w:szCs w:val="24"/>
        </w:rPr>
      </w:pPr>
      <w:r w:rsidRPr="000A6BDA">
        <w:rPr>
          <w:b/>
          <w:sz w:val="24"/>
          <w:szCs w:val="24"/>
        </w:rPr>
        <w:t>TOWNSHIP OF GALLOWAY</w:t>
      </w:r>
    </w:p>
    <w:p w14:paraId="65EFD4F8" w14:textId="77777777" w:rsidR="000B2D3B" w:rsidRDefault="000B2D3B" w:rsidP="000B2D3B">
      <w:pPr>
        <w:rPr>
          <w:sz w:val="24"/>
          <w:szCs w:val="24"/>
        </w:rPr>
      </w:pPr>
    </w:p>
    <w:p w14:paraId="6419C064" w14:textId="7DFFFBD2" w:rsidR="000B2D3B" w:rsidRPr="00653BBB" w:rsidRDefault="000B2D3B" w:rsidP="0011519E">
      <w:pPr>
        <w:pStyle w:val="NoSpacing"/>
      </w:pPr>
      <w:r>
        <w:rPr>
          <w:u w:val="single"/>
        </w:rPr>
        <w:tab/>
      </w:r>
      <w:r>
        <w:rPr>
          <w:u w:val="single"/>
        </w:rPr>
        <w:tab/>
      </w:r>
      <w:r>
        <w:rPr>
          <w:u w:val="single"/>
        </w:rPr>
        <w:tab/>
      </w:r>
      <w:r>
        <w:tab/>
      </w:r>
    </w:p>
    <w:p w14:paraId="4AF6B4F6" w14:textId="77777777" w:rsidR="000B2D3B" w:rsidRPr="00805436" w:rsidRDefault="000B2D3B" w:rsidP="000B2D3B">
      <w:pPr>
        <w:pStyle w:val="NoSpacing"/>
      </w:pPr>
      <w:r w:rsidRPr="00805436">
        <w:t>Kelli Danieli</w:t>
      </w:r>
      <w:r>
        <w:t>, RMC</w:t>
      </w:r>
    </w:p>
    <w:p w14:paraId="6F5EB543" w14:textId="75892C23" w:rsidR="00C411ED" w:rsidRPr="006B26B7" w:rsidRDefault="000B2D3B" w:rsidP="000B2D3B">
      <w:pPr>
        <w:rPr>
          <w:rFonts w:ascii="Times New Roman" w:hAnsi="Times New Roman" w:cs="Times New Roman"/>
          <w:b/>
          <w:bCs/>
          <w:sz w:val="24"/>
          <w:szCs w:val="24"/>
        </w:rPr>
      </w:pPr>
      <w:r w:rsidRPr="00805436">
        <w:rPr>
          <w:color w:val="000000"/>
          <w:sz w:val="24"/>
          <w:szCs w:val="24"/>
        </w:rPr>
        <w:t xml:space="preserve">Municipal Clerk                                        </w:t>
      </w:r>
    </w:p>
    <w:p w14:paraId="1882983B" w14:textId="7D770E45" w:rsidR="003D4374" w:rsidRDefault="003D4374" w:rsidP="00CA6AC2">
      <w:pPr>
        <w:shd w:val="clear" w:color="auto" w:fill="FFFFFF"/>
        <w:spacing w:after="0" w:line="235" w:lineRule="atLeast"/>
        <w:ind w:left="360" w:firstLine="360"/>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br w:type="page"/>
      </w:r>
    </w:p>
    <w:p w14:paraId="5B6B69D2" w14:textId="265CC11F" w:rsidR="00C411ED" w:rsidRPr="006D63AC" w:rsidRDefault="003D4374" w:rsidP="003D4374">
      <w:pPr>
        <w:shd w:val="clear" w:color="auto" w:fill="FFFFFF"/>
        <w:spacing w:after="0" w:line="235" w:lineRule="atLeast"/>
        <w:jc w:val="center"/>
        <w:rPr>
          <w:rFonts w:ascii="Times New Roman" w:eastAsia="Times New Roman" w:hAnsi="Times New Roman" w:cs="Times New Roman"/>
          <w:b/>
          <w:bCs/>
          <w:color w:val="000000"/>
          <w:sz w:val="40"/>
          <w:szCs w:val="40"/>
          <w:bdr w:val="none" w:sz="0" w:space="0" w:color="auto" w:frame="1"/>
        </w:rPr>
      </w:pPr>
      <w:r w:rsidRPr="006D63AC">
        <w:rPr>
          <w:rFonts w:ascii="Times New Roman" w:eastAsia="Times New Roman" w:hAnsi="Times New Roman" w:cs="Times New Roman"/>
          <w:b/>
          <w:bCs/>
          <w:color w:val="000000"/>
          <w:sz w:val="40"/>
          <w:szCs w:val="40"/>
          <w:bdr w:val="none" w:sz="0" w:space="0" w:color="auto" w:frame="1"/>
        </w:rPr>
        <w:lastRenderedPageBreak/>
        <w:t>EXHIBIT A</w:t>
      </w:r>
    </w:p>
    <w:p w14:paraId="1FB098FA" w14:textId="77777777" w:rsidR="003D4374" w:rsidRPr="006D63AC" w:rsidRDefault="003D4374" w:rsidP="003D4374">
      <w:pPr>
        <w:shd w:val="clear" w:color="auto" w:fill="FFFFFF"/>
        <w:spacing w:after="0" w:line="235" w:lineRule="atLeast"/>
        <w:rPr>
          <w:rFonts w:ascii="Times New Roman" w:eastAsia="Times New Roman" w:hAnsi="Times New Roman" w:cs="Times New Roman"/>
          <w:color w:val="000000"/>
          <w:sz w:val="24"/>
          <w:szCs w:val="24"/>
          <w:bdr w:val="none" w:sz="0" w:space="0" w:color="auto" w:frame="1"/>
        </w:rPr>
      </w:pPr>
    </w:p>
    <w:p w14:paraId="3AC42ED0" w14:textId="77777777" w:rsidR="003D4374" w:rsidRPr="006D63AC" w:rsidRDefault="003D4374" w:rsidP="003D4374">
      <w:pPr>
        <w:jc w:val="center"/>
        <w:rPr>
          <w:rFonts w:ascii="Times New Roman" w:hAnsi="Times New Roman" w:cs="Times New Roman"/>
          <w:b/>
          <w:bCs/>
          <w:sz w:val="32"/>
          <w:szCs w:val="32"/>
        </w:rPr>
      </w:pPr>
    </w:p>
    <w:p w14:paraId="7C286F12" w14:textId="77777777" w:rsidR="006D63AC" w:rsidRPr="006D63AC" w:rsidRDefault="006D63AC" w:rsidP="006D63AC">
      <w:pPr>
        <w:jc w:val="center"/>
        <w:rPr>
          <w:rFonts w:ascii="Times New Roman" w:hAnsi="Times New Roman" w:cs="Times New Roman"/>
          <w:b/>
          <w:bCs/>
          <w:sz w:val="32"/>
          <w:szCs w:val="32"/>
        </w:rPr>
      </w:pPr>
      <w:r w:rsidRPr="006D63AC">
        <w:rPr>
          <w:rFonts w:ascii="Times New Roman" w:hAnsi="Times New Roman" w:cs="Times New Roman"/>
          <w:sz w:val="32"/>
          <w:szCs w:val="32"/>
        </w:rPr>
        <w:t>Chapter 233. Land Management</w:t>
      </w:r>
    </w:p>
    <w:p w14:paraId="363A0272" w14:textId="77777777" w:rsidR="006D63AC" w:rsidRPr="006D63AC" w:rsidRDefault="006D63AC" w:rsidP="006D63AC">
      <w:pPr>
        <w:jc w:val="center"/>
        <w:rPr>
          <w:rFonts w:ascii="Times New Roman" w:hAnsi="Times New Roman" w:cs="Times New Roman"/>
          <w:sz w:val="32"/>
          <w:szCs w:val="32"/>
        </w:rPr>
      </w:pPr>
      <w:r w:rsidRPr="006D63AC">
        <w:rPr>
          <w:rFonts w:ascii="Times New Roman" w:hAnsi="Times New Roman" w:cs="Times New Roman"/>
          <w:sz w:val="32"/>
          <w:szCs w:val="32"/>
        </w:rPr>
        <w:t>Article X. Pinelands Area Standards</w:t>
      </w:r>
    </w:p>
    <w:p w14:paraId="6A7CA175" w14:textId="77777777" w:rsidR="006D63AC" w:rsidRPr="006D63AC" w:rsidRDefault="006D63AC" w:rsidP="006D63AC">
      <w:pPr>
        <w:jc w:val="center"/>
        <w:rPr>
          <w:rFonts w:ascii="Times New Roman" w:hAnsi="Times New Roman" w:cs="Times New Roman"/>
          <w:b/>
          <w:bCs/>
          <w:sz w:val="24"/>
          <w:szCs w:val="24"/>
        </w:rPr>
      </w:pPr>
    </w:p>
    <w:p w14:paraId="4A4B01BC" w14:textId="77777777" w:rsidR="006D63AC" w:rsidRPr="006D63AC" w:rsidRDefault="006D63AC" w:rsidP="006D63AC">
      <w:pPr>
        <w:rPr>
          <w:rFonts w:ascii="Times New Roman" w:hAnsi="Times New Roman" w:cs="Times New Roman"/>
          <w:b/>
          <w:bCs/>
          <w:sz w:val="24"/>
          <w:szCs w:val="24"/>
        </w:rPr>
      </w:pPr>
      <w:r w:rsidRPr="006D63AC">
        <w:rPr>
          <w:rFonts w:ascii="Times New Roman" w:hAnsi="Times New Roman" w:cs="Times New Roman"/>
          <w:b/>
          <w:bCs/>
          <w:sz w:val="24"/>
          <w:szCs w:val="24"/>
        </w:rPr>
        <w:t>§ 233-83. Development regulations.</w:t>
      </w:r>
    </w:p>
    <w:p w14:paraId="3A8E6948" w14:textId="55B63A54" w:rsidR="006D63AC" w:rsidRPr="006D63AC" w:rsidRDefault="006D63AC" w:rsidP="006D63AC">
      <w:pPr>
        <w:ind w:left="360" w:hanging="360"/>
        <w:rPr>
          <w:rFonts w:ascii="Times New Roman" w:hAnsi="Times New Roman" w:cs="Times New Roman"/>
          <w:sz w:val="24"/>
          <w:szCs w:val="24"/>
        </w:rPr>
      </w:pPr>
      <w:r w:rsidRPr="006D63AC">
        <w:rPr>
          <w:rFonts w:ascii="Times New Roman" w:hAnsi="Times New Roman" w:cs="Times New Roman"/>
          <w:sz w:val="24"/>
          <w:szCs w:val="24"/>
        </w:rPr>
        <w:t>O. Housing.</w:t>
      </w:r>
      <w:r>
        <w:rPr>
          <w:rFonts w:ascii="Times New Roman" w:hAnsi="Times New Roman" w:cs="Times New Roman"/>
          <w:sz w:val="24"/>
          <w:szCs w:val="24"/>
        </w:rPr>
        <w:t xml:space="preserve"> </w:t>
      </w:r>
      <w:r w:rsidRPr="006D63AC">
        <w:rPr>
          <w:rFonts w:ascii="Times New Roman" w:hAnsi="Times New Roman" w:cs="Times New Roman"/>
          <w:sz w:val="24"/>
          <w:szCs w:val="24"/>
        </w:rPr>
        <w:t>(1) Generally. In order to provide for Galloway Township’s fair share of housing that is affordable to  very-low-income households, low-income households and moderate-income households, all developers of any residential development or mixed use development shall comply with the requirements of this Subsection O. Words set forth in this Subsection O shall have the meanings set forth in Section 233-94.B. of the Township Code.</w:t>
      </w:r>
    </w:p>
    <w:p w14:paraId="0469BCC9" w14:textId="77777777" w:rsidR="006D63AC" w:rsidRPr="006D63AC" w:rsidRDefault="006D63AC" w:rsidP="006D63AC">
      <w:pPr>
        <w:ind w:left="360"/>
        <w:rPr>
          <w:rFonts w:ascii="Times New Roman" w:hAnsi="Times New Roman" w:cs="Times New Roman"/>
          <w:sz w:val="24"/>
          <w:szCs w:val="24"/>
        </w:rPr>
      </w:pPr>
      <w:r w:rsidRPr="006D63AC">
        <w:rPr>
          <w:rFonts w:ascii="Times New Roman" w:hAnsi="Times New Roman" w:cs="Times New Roman"/>
          <w:sz w:val="24"/>
          <w:szCs w:val="24"/>
        </w:rPr>
        <w:t>(2) Procedure.</w:t>
      </w:r>
    </w:p>
    <w:p w14:paraId="677C2563" w14:textId="77777777" w:rsidR="006D63AC" w:rsidRPr="006D63AC" w:rsidRDefault="006D63AC" w:rsidP="006D63AC">
      <w:pPr>
        <w:ind w:left="1170" w:hanging="450"/>
        <w:rPr>
          <w:rFonts w:ascii="Times New Roman" w:hAnsi="Times New Roman" w:cs="Times New Roman"/>
          <w:sz w:val="24"/>
          <w:szCs w:val="24"/>
        </w:rPr>
      </w:pPr>
      <w:r w:rsidRPr="006D63AC">
        <w:rPr>
          <w:rFonts w:ascii="Times New Roman" w:hAnsi="Times New Roman" w:cs="Times New Roman"/>
          <w:sz w:val="24"/>
          <w:szCs w:val="24"/>
        </w:rPr>
        <w:t xml:space="preserve">(a) The developer of a residential development in the Pinelands Management areas containing five or more dwelling units or of a mixed-use development in the Pinelands Management areas containing five or more dwellings units (“qualifying development project”) shall construct, either within such qualifying development project or as a separate project thereto, a minimum of 20% of the total number of dwelling units as restricted units. </w:t>
      </w:r>
    </w:p>
    <w:p w14:paraId="20B333EA" w14:textId="77777777" w:rsidR="006D63AC" w:rsidRPr="006D63AC" w:rsidRDefault="006D63AC" w:rsidP="006D63AC">
      <w:pPr>
        <w:ind w:left="1170" w:hanging="450"/>
        <w:rPr>
          <w:rFonts w:ascii="Times New Roman" w:hAnsi="Times New Roman" w:cs="Times New Roman"/>
          <w:sz w:val="24"/>
          <w:szCs w:val="24"/>
        </w:rPr>
      </w:pPr>
      <w:r w:rsidRPr="006D63AC">
        <w:rPr>
          <w:rFonts w:ascii="Times New Roman" w:hAnsi="Times New Roman" w:cs="Times New Roman"/>
          <w:sz w:val="24"/>
          <w:szCs w:val="24"/>
        </w:rPr>
        <w:t xml:space="preserve">(b) Pursuant to the Fair Housing Act, the Fair Housing Act Regulations and UHAC, if constructed within a qualifying development project, the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 xml:space="preserve">units shall be disbursed throughout the site plan and shall, to the extent practicable, have an exterior design which is compatible with the surrounding market-rate units. Site distribution and design of the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 xml:space="preserve">units shall comply with N.J.A.C. 5:80-26.5.  Similarly,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units constructed separate from a qualifying development project shall, to the extent practicable, have an exterior design which is compatible with the surrounding housing in the neighborhood and shall comply with the site distribution and design requirements of N.J.A.C. 5:80-26.5.</w:t>
      </w:r>
    </w:p>
    <w:p w14:paraId="15DB4F88" w14:textId="77777777" w:rsidR="006D63AC" w:rsidRPr="006D63AC" w:rsidRDefault="006D63AC" w:rsidP="006D63AC">
      <w:pPr>
        <w:ind w:left="1170" w:hanging="450"/>
        <w:rPr>
          <w:rFonts w:ascii="Times New Roman" w:hAnsi="Times New Roman" w:cs="Times New Roman"/>
          <w:sz w:val="24"/>
          <w:szCs w:val="24"/>
        </w:rPr>
      </w:pPr>
      <w:r w:rsidRPr="006D63AC">
        <w:rPr>
          <w:rFonts w:ascii="Times New Roman" w:hAnsi="Times New Roman" w:cs="Times New Roman"/>
          <w:sz w:val="24"/>
          <w:szCs w:val="24"/>
        </w:rPr>
        <w:t xml:space="preserve">(c) The requirement to construct said 20%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units shall apply to all qualifying development projects in a Pinelands regional growth area, village or town.</w:t>
      </w:r>
    </w:p>
    <w:p w14:paraId="1986DEBD" w14:textId="77777777" w:rsidR="006D63AC" w:rsidRPr="006D63AC" w:rsidRDefault="006D63AC" w:rsidP="006D63AC">
      <w:pPr>
        <w:ind w:left="1170" w:hanging="450"/>
        <w:rPr>
          <w:rFonts w:ascii="Times New Roman" w:hAnsi="Times New Roman" w:cs="Times New Roman"/>
          <w:sz w:val="24"/>
          <w:szCs w:val="24"/>
        </w:rPr>
      </w:pPr>
      <w:r w:rsidRPr="006D63AC">
        <w:rPr>
          <w:rFonts w:ascii="Times New Roman" w:hAnsi="Times New Roman" w:cs="Times New Roman"/>
          <w:sz w:val="24"/>
          <w:szCs w:val="24"/>
        </w:rPr>
        <w:t xml:space="preserve">(d) Where said 20%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 xml:space="preserve">units are to be constructed as part of the qualifying development project, all land use approvals and permits required to construct such dwelling units, including, but not limited to, Galloway Planning Board, Galloway Zoning Board, County Planning Board, Pinelands, NJDEP/CAFRA and local building permits, shall be obtained under a single series of applications. Where said 20% </w:t>
      </w:r>
      <w:proofErr w:type="gramStart"/>
      <w:r w:rsidRPr="006D63AC">
        <w:rPr>
          <w:rFonts w:ascii="Times New Roman" w:hAnsi="Times New Roman" w:cs="Times New Roman"/>
          <w:color w:val="000000" w:themeColor="text1"/>
          <w:sz w:val="24"/>
          <w:szCs w:val="24"/>
        </w:rPr>
        <w:t>restricted</w:t>
      </w:r>
      <w:proofErr w:type="gramEnd"/>
      <w:r w:rsidRPr="006D63AC">
        <w:rPr>
          <w:rFonts w:ascii="Times New Roman" w:hAnsi="Times New Roman" w:cs="Times New Roman"/>
          <w:color w:val="000000" w:themeColor="text1"/>
          <w:sz w:val="24"/>
          <w:szCs w:val="24"/>
        </w:rPr>
        <w:t xml:space="preserve"> </w:t>
      </w:r>
      <w:r w:rsidRPr="006D63AC">
        <w:rPr>
          <w:rFonts w:ascii="Times New Roman" w:hAnsi="Times New Roman" w:cs="Times New Roman"/>
          <w:sz w:val="24"/>
          <w:szCs w:val="24"/>
        </w:rPr>
        <w:t xml:space="preserve">units are to be constructed separately from the qualifying </w:t>
      </w:r>
      <w:r w:rsidRPr="006D63AC">
        <w:rPr>
          <w:rFonts w:ascii="Times New Roman" w:hAnsi="Times New Roman" w:cs="Times New Roman"/>
          <w:sz w:val="24"/>
          <w:szCs w:val="24"/>
        </w:rPr>
        <w:lastRenderedPageBreak/>
        <w:t xml:space="preserve">development project, all land use approvals and permits required to construct the qualifying development </w:t>
      </w:r>
      <w:proofErr w:type="gramStart"/>
      <w:r w:rsidRPr="006D63AC">
        <w:rPr>
          <w:rFonts w:ascii="Times New Roman" w:hAnsi="Times New Roman" w:cs="Times New Roman"/>
          <w:sz w:val="24"/>
          <w:szCs w:val="24"/>
        </w:rPr>
        <w:t>project</w:t>
      </w:r>
      <w:proofErr w:type="gramEnd"/>
      <w:r w:rsidRPr="006D63AC">
        <w:rPr>
          <w:rFonts w:ascii="Times New Roman" w:hAnsi="Times New Roman" w:cs="Times New Roman"/>
          <w:sz w:val="24"/>
          <w:szCs w:val="24"/>
        </w:rPr>
        <w:t xml:space="preserve"> and the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 xml:space="preserve">units shall be obtained by the filing of separate but simultaneous applications. </w:t>
      </w:r>
    </w:p>
    <w:p w14:paraId="661BB354" w14:textId="5A99FBB2" w:rsidR="006D63AC" w:rsidRPr="006D63AC" w:rsidRDefault="006D63AC" w:rsidP="006D63AC">
      <w:pPr>
        <w:ind w:left="1170" w:hanging="450"/>
        <w:rPr>
          <w:rFonts w:ascii="Times New Roman" w:hAnsi="Times New Roman" w:cs="Times New Roman"/>
          <w:sz w:val="24"/>
          <w:szCs w:val="24"/>
        </w:rPr>
      </w:pPr>
      <w:r w:rsidRPr="006D63AC">
        <w:rPr>
          <w:rFonts w:ascii="Times New Roman" w:hAnsi="Times New Roman" w:cs="Times New Roman"/>
          <w:sz w:val="24"/>
          <w:szCs w:val="24"/>
        </w:rPr>
        <w:t xml:space="preserve">(e) Regardless of whether constructed as part of a qualifying development project or as separate units, no certificate of occupancy for the market-rate units shall be issued unless a proportionate number of certificates of occupancy are issued for the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units. Similarly, where a qualifying development project is proposed to be constructed in phases, the developer shall provide a phasing plan which provides for the affordable housing to be developed proportionately with the market-rate units.</w:t>
      </w:r>
    </w:p>
    <w:p w14:paraId="4FBB7FF9" w14:textId="7143919B" w:rsidR="006D63AC" w:rsidRPr="006D63AC" w:rsidRDefault="006D63AC" w:rsidP="006D63AC">
      <w:pPr>
        <w:ind w:left="1170" w:hanging="450"/>
        <w:rPr>
          <w:rFonts w:ascii="Times New Roman" w:hAnsi="Times New Roman" w:cs="Times New Roman"/>
          <w:sz w:val="24"/>
          <w:szCs w:val="24"/>
        </w:rPr>
      </w:pPr>
      <w:r w:rsidRPr="006D63AC">
        <w:rPr>
          <w:rFonts w:ascii="Times New Roman" w:hAnsi="Times New Roman" w:cs="Times New Roman"/>
          <w:sz w:val="24"/>
          <w:szCs w:val="24"/>
        </w:rPr>
        <w:t>(f</w:t>
      </w:r>
      <w:proofErr w:type="gramStart"/>
      <w:r w:rsidRPr="006D63AC">
        <w:rPr>
          <w:rFonts w:ascii="Times New Roman" w:hAnsi="Times New Roman" w:cs="Times New Roman"/>
          <w:sz w:val="24"/>
          <w:szCs w:val="24"/>
        </w:rPr>
        <w:t>)  The</w:t>
      </w:r>
      <w:proofErr w:type="gramEnd"/>
      <w:r w:rsidRPr="006D63AC">
        <w:rPr>
          <w:rFonts w:ascii="Times New Roman" w:hAnsi="Times New Roman" w:cs="Times New Roman"/>
          <w:sz w:val="24"/>
          <w:szCs w:val="24"/>
        </w:rPr>
        <w:t xml:space="preserve"> proportion of affordable to market-rate units to be issued certificate of occupancy shall be as follows:</w:t>
      </w:r>
    </w:p>
    <w:tbl>
      <w:tblPr>
        <w:tblW w:w="9885" w:type="dxa"/>
        <w:tblInd w:w="15" w:type="dxa"/>
        <w:tblCellMar>
          <w:top w:w="15" w:type="dxa"/>
          <w:left w:w="15" w:type="dxa"/>
          <w:bottom w:w="15" w:type="dxa"/>
          <w:right w:w="15" w:type="dxa"/>
        </w:tblCellMar>
        <w:tblLook w:val="04A0" w:firstRow="1" w:lastRow="0" w:firstColumn="1" w:lastColumn="0" w:noHBand="0" w:noVBand="1"/>
      </w:tblPr>
      <w:tblGrid>
        <w:gridCol w:w="5385"/>
        <w:gridCol w:w="4500"/>
      </w:tblGrid>
      <w:tr w:rsidR="006D63AC" w:rsidRPr="006D63AC" w14:paraId="795EAFB1" w14:textId="77777777" w:rsidTr="001D022B">
        <w:trPr>
          <w:tblHeader/>
        </w:trPr>
        <w:tc>
          <w:tcPr>
            <w:tcW w:w="5385" w:type="dxa"/>
            <w:tcBorders>
              <w:top w:val="nil"/>
              <w:left w:val="nil"/>
              <w:bottom w:val="nil"/>
              <w:right w:val="nil"/>
            </w:tcBorders>
            <w:shd w:val="clear" w:color="auto" w:fill="FFFFFF"/>
            <w:tcMar>
              <w:top w:w="15" w:type="dxa"/>
              <w:left w:w="60" w:type="dxa"/>
              <w:bottom w:w="60" w:type="dxa"/>
              <w:right w:w="60" w:type="dxa"/>
            </w:tcMar>
            <w:vAlign w:val="bottom"/>
            <w:hideMark/>
          </w:tcPr>
          <w:p w14:paraId="672940DB" w14:textId="77777777" w:rsidR="006D63AC" w:rsidRPr="006D63AC" w:rsidRDefault="006D63AC" w:rsidP="001D022B">
            <w:pPr>
              <w:rPr>
                <w:rFonts w:ascii="Times New Roman" w:hAnsi="Times New Roman" w:cs="Times New Roman"/>
                <w:b/>
                <w:bCs/>
                <w:sz w:val="24"/>
                <w:szCs w:val="24"/>
              </w:rPr>
            </w:pPr>
            <w:r w:rsidRPr="006D63AC">
              <w:rPr>
                <w:rFonts w:ascii="Times New Roman" w:hAnsi="Times New Roman" w:cs="Times New Roman"/>
                <w:b/>
                <w:bCs/>
                <w:sz w:val="24"/>
                <w:szCs w:val="24"/>
              </w:rPr>
              <w:t>Maximum % of Market-Rate Units Completed</w:t>
            </w:r>
          </w:p>
        </w:tc>
        <w:tc>
          <w:tcPr>
            <w:tcW w:w="4500" w:type="dxa"/>
            <w:tcBorders>
              <w:top w:val="nil"/>
              <w:left w:val="nil"/>
              <w:bottom w:val="nil"/>
              <w:right w:val="nil"/>
            </w:tcBorders>
            <w:shd w:val="clear" w:color="auto" w:fill="FFFFFF"/>
            <w:tcMar>
              <w:top w:w="15" w:type="dxa"/>
              <w:left w:w="60" w:type="dxa"/>
              <w:bottom w:w="60" w:type="dxa"/>
              <w:right w:w="60" w:type="dxa"/>
            </w:tcMar>
            <w:vAlign w:val="bottom"/>
            <w:hideMark/>
          </w:tcPr>
          <w:p w14:paraId="34AA03C0" w14:textId="77777777" w:rsidR="006D63AC" w:rsidRPr="006D63AC" w:rsidRDefault="006D63AC" w:rsidP="001D022B">
            <w:pPr>
              <w:rPr>
                <w:rFonts w:ascii="Times New Roman" w:hAnsi="Times New Roman" w:cs="Times New Roman"/>
                <w:b/>
                <w:bCs/>
                <w:sz w:val="24"/>
                <w:szCs w:val="24"/>
              </w:rPr>
            </w:pPr>
            <w:r w:rsidRPr="006D63AC">
              <w:rPr>
                <w:rFonts w:ascii="Times New Roman" w:hAnsi="Times New Roman" w:cs="Times New Roman"/>
                <w:b/>
                <w:bCs/>
                <w:sz w:val="24"/>
                <w:szCs w:val="24"/>
              </w:rPr>
              <w:t xml:space="preserve">Minimum % of </w:t>
            </w:r>
            <w:r w:rsidRPr="006D63AC">
              <w:rPr>
                <w:rFonts w:ascii="Times New Roman" w:hAnsi="Times New Roman" w:cs="Times New Roman"/>
                <w:b/>
                <w:bCs/>
                <w:color w:val="000000" w:themeColor="text1"/>
                <w:sz w:val="24"/>
                <w:szCs w:val="24"/>
              </w:rPr>
              <w:t>Restricted</w:t>
            </w:r>
            <w:r w:rsidRPr="006D63AC">
              <w:rPr>
                <w:rFonts w:ascii="Times New Roman" w:hAnsi="Times New Roman" w:cs="Times New Roman"/>
                <w:color w:val="000000" w:themeColor="text1"/>
                <w:sz w:val="24"/>
                <w:szCs w:val="24"/>
              </w:rPr>
              <w:t xml:space="preserve"> </w:t>
            </w:r>
            <w:r w:rsidRPr="006D63AC">
              <w:rPr>
                <w:rFonts w:ascii="Times New Roman" w:hAnsi="Times New Roman" w:cs="Times New Roman"/>
                <w:b/>
                <w:bCs/>
                <w:sz w:val="24"/>
                <w:szCs w:val="24"/>
              </w:rPr>
              <w:t>Units Completed</w:t>
            </w:r>
          </w:p>
        </w:tc>
      </w:tr>
      <w:tr w:rsidR="006D63AC" w:rsidRPr="006D63AC" w14:paraId="16BAB1A4" w14:textId="77777777" w:rsidTr="001D022B">
        <w:tc>
          <w:tcPr>
            <w:tcW w:w="5385" w:type="dxa"/>
            <w:tcBorders>
              <w:top w:val="nil"/>
              <w:left w:val="nil"/>
              <w:bottom w:val="nil"/>
              <w:right w:val="nil"/>
            </w:tcBorders>
            <w:tcMar>
              <w:top w:w="15" w:type="dxa"/>
              <w:left w:w="60" w:type="dxa"/>
              <w:bottom w:w="60" w:type="dxa"/>
              <w:right w:w="60" w:type="dxa"/>
            </w:tcMar>
            <w:hideMark/>
          </w:tcPr>
          <w:p w14:paraId="40871C6D" w14:textId="77777777" w:rsidR="006D63AC" w:rsidRPr="006D63AC" w:rsidRDefault="006D63AC" w:rsidP="001D022B">
            <w:pPr>
              <w:rPr>
                <w:rFonts w:ascii="Times New Roman" w:hAnsi="Times New Roman" w:cs="Times New Roman"/>
                <w:sz w:val="24"/>
                <w:szCs w:val="24"/>
              </w:rPr>
            </w:pPr>
            <w:r w:rsidRPr="006D63AC">
              <w:rPr>
                <w:rFonts w:ascii="Times New Roman" w:hAnsi="Times New Roman" w:cs="Times New Roman"/>
                <w:sz w:val="24"/>
                <w:szCs w:val="24"/>
              </w:rPr>
              <w:t>25% + 1</w:t>
            </w:r>
          </w:p>
        </w:tc>
        <w:tc>
          <w:tcPr>
            <w:tcW w:w="4500" w:type="dxa"/>
            <w:tcBorders>
              <w:top w:val="nil"/>
              <w:left w:val="nil"/>
              <w:bottom w:val="nil"/>
              <w:right w:val="nil"/>
            </w:tcBorders>
            <w:tcMar>
              <w:top w:w="15" w:type="dxa"/>
              <w:left w:w="60" w:type="dxa"/>
              <w:bottom w:w="60" w:type="dxa"/>
              <w:right w:w="60" w:type="dxa"/>
            </w:tcMar>
            <w:hideMark/>
          </w:tcPr>
          <w:p w14:paraId="1A5A56A5" w14:textId="77777777" w:rsidR="006D63AC" w:rsidRPr="006D63AC" w:rsidRDefault="006D63AC" w:rsidP="001D022B">
            <w:pPr>
              <w:rPr>
                <w:rFonts w:ascii="Times New Roman" w:hAnsi="Times New Roman" w:cs="Times New Roman"/>
                <w:sz w:val="24"/>
                <w:szCs w:val="24"/>
              </w:rPr>
            </w:pPr>
            <w:r w:rsidRPr="006D63AC">
              <w:rPr>
                <w:rFonts w:ascii="Times New Roman" w:hAnsi="Times New Roman" w:cs="Times New Roman"/>
                <w:sz w:val="24"/>
                <w:szCs w:val="24"/>
              </w:rPr>
              <w:t>25%</w:t>
            </w:r>
          </w:p>
        </w:tc>
      </w:tr>
      <w:tr w:rsidR="006D63AC" w:rsidRPr="006D63AC" w14:paraId="7CAD2D84" w14:textId="77777777" w:rsidTr="001D022B">
        <w:tc>
          <w:tcPr>
            <w:tcW w:w="5385" w:type="dxa"/>
            <w:tcBorders>
              <w:top w:val="nil"/>
              <w:left w:val="nil"/>
              <w:bottom w:val="nil"/>
              <w:right w:val="nil"/>
            </w:tcBorders>
            <w:tcMar>
              <w:top w:w="15" w:type="dxa"/>
              <w:left w:w="60" w:type="dxa"/>
              <w:bottom w:w="60" w:type="dxa"/>
              <w:right w:w="60" w:type="dxa"/>
            </w:tcMar>
            <w:hideMark/>
          </w:tcPr>
          <w:p w14:paraId="133D8ED0" w14:textId="77777777" w:rsidR="006D63AC" w:rsidRPr="006D63AC" w:rsidRDefault="006D63AC" w:rsidP="001D022B">
            <w:pPr>
              <w:rPr>
                <w:rFonts w:ascii="Times New Roman" w:hAnsi="Times New Roman" w:cs="Times New Roman"/>
                <w:sz w:val="24"/>
                <w:szCs w:val="24"/>
              </w:rPr>
            </w:pPr>
            <w:r w:rsidRPr="006D63AC">
              <w:rPr>
                <w:rFonts w:ascii="Times New Roman" w:hAnsi="Times New Roman" w:cs="Times New Roman"/>
                <w:sz w:val="24"/>
                <w:szCs w:val="24"/>
              </w:rPr>
              <w:t>50%</w:t>
            </w:r>
          </w:p>
        </w:tc>
        <w:tc>
          <w:tcPr>
            <w:tcW w:w="4500" w:type="dxa"/>
            <w:tcBorders>
              <w:top w:val="nil"/>
              <w:left w:val="nil"/>
              <w:bottom w:val="nil"/>
              <w:right w:val="nil"/>
            </w:tcBorders>
            <w:tcMar>
              <w:top w:w="15" w:type="dxa"/>
              <w:left w:w="60" w:type="dxa"/>
              <w:bottom w:w="60" w:type="dxa"/>
              <w:right w:w="60" w:type="dxa"/>
            </w:tcMar>
            <w:hideMark/>
          </w:tcPr>
          <w:p w14:paraId="3B9C77D0" w14:textId="77777777" w:rsidR="006D63AC" w:rsidRPr="006D63AC" w:rsidRDefault="006D63AC" w:rsidP="001D022B">
            <w:pPr>
              <w:rPr>
                <w:rFonts w:ascii="Times New Roman" w:hAnsi="Times New Roman" w:cs="Times New Roman"/>
                <w:sz w:val="24"/>
                <w:szCs w:val="24"/>
              </w:rPr>
            </w:pPr>
            <w:r w:rsidRPr="006D63AC">
              <w:rPr>
                <w:rFonts w:ascii="Times New Roman" w:hAnsi="Times New Roman" w:cs="Times New Roman"/>
                <w:sz w:val="24"/>
                <w:szCs w:val="24"/>
              </w:rPr>
              <w:t>50%</w:t>
            </w:r>
          </w:p>
        </w:tc>
      </w:tr>
      <w:tr w:rsidR="006D63AC" w:rsidRPr="006D63AC" w14:paraId="49ABC241" w14:textId="77777777" w:rsidTr="001D022B">
        <w:tc>
          <w:tcPr>
            <w:tcW w:w="5385" w:type="dxa"/>
            <w:tcBorders>
              <w:top w:val="nil"/>
              <w:left w:val="nil"/>
              <w:bottom w:val="nil"/>
              <w:right w:val="nil"/>
            </w:tcBorders>
            <w:tcMar>
              <w:top w:w="15" w:type="dxa"/>
              <w:left w:w="60" w:type="dxa"/>
              <w:bottom w:w="60" w:type="dxa"/>
              <w:right w:w="60" w:type="dxa"/>
            </w:tcMar>
            <w:hideMark/>
          </w:tcPr>
          <w:p w14:paraId="1AB821AF" w14:textId="77777777" w:rsidR="006D63AC" w:rsidRPr="006D63AC" w:rsidRDefault="006D63AC" w:rsidP="001D022B">
            <w:pPr>
              <w:rPr>
                <w:rFonts w:ascii="Times New Roman" w:hAnsi="Times New Roman" w:cs="Times New Roman"/>
                <w:sz w:val="24"/>
                <w:szCs w:val="24"/>
              </w:rPr>
            </w:pPr>
            <w:r w:rsidRPr="006D63AC">
              <w:rPr>
                <w:rFonts w:ascii="Times New Roman" w:hAnsi="Times New Roman" w:cs="Times New Roman"/>
                <w:sz w:val="24"/>
                <w:szCs w:val="24"/>
              </w:rPr>
              <w:t>75%</w:t>
            </w:r>
          </w:p>
        </w:tc>
        <w:tc>
          <w:tcPr>
            <w:tcW w:w="4500" w:type="dxa"/>
            <w:tcBorders>
              <w:top w:val="nil"/>
              <w:left w:val="nil"/>
              <w:bottom w:val="nil"/>
              <w:right w:val="nil"/>
            </w:tcBorders>
            <w:tcMar>
              <w:top w:w="15" w:type="dxa"/>
              <w:left w:w="60" w:type="dxa"/>
              <w:bottom w:w="60" w:type="dxa"/>
              <w:right w:w="60" w:type="dxa"/>
            </w:tcMar>
            <w:hideMark/>
          </w:tcPr>
          <w:p w14:paraId="24F0EC73" w14:textId="77777777" w:rsidR="006D63AC" w:rsidRPr="006D63AC" w:rsidRDefault="006D63AC" w:rsidP="001D022B">
            <w:pPr>
              <w:rPr>
                <w:rFonts w:ascii="Times New Roman" w:hAnsi="Times New Roman" w:cs="Times New Roman"/>
                <w:sz w:val="24"/>
                <w:szCs w:val="24"/>
              </w:rPr>
            </w:pPr>
            <w:r w:rsidRPr="006D63AC">
              <w:rPr>
                <w:rFonts w:ascii="Times New Roman" w:hAnsi="Times New Roman" w:cs="Times New Roman"/>
                <w:sz w:val="24"/>
                <w:szCs w:val="24"/>
              </w:rPr>
              <w:t>75%</w:t>
            </w:r>
          </w:p>
        </w:tc>
      </w:tr>
      <w:tr w:rsidR="006D63AC" w:rsidRPr="006D63AC" w14:paraId="0B698A1F" w14:textId="77777777" w:rsidTr="001D022B">
        <w:tc>
          <w:tcPr>
            <w:tcW w:w="5385" w:type="dxa"/>
            <w:tcBorders>
              <w:top w:val="nil"/>
              <w:left w:val="nil"/>
              <w:bottom w:val="nil"/>
              <w:right w:val="nil"/>
            </w:tcBorders>
            <w:tcMar>
              <w:top w:w="15" w:type="dxa"/>
              <w:left w:w="60" w:type="dxa"/>
              <w:bottom w:w="60" w:type="dxa"/>
              <w:right w:w="60" w:type="dxa"/>
            </w:tcMar>
            <w:hideMark/>
          </w:tcPr>
          <w:p w14:paraId="5D482695" w14:textId="77777777" w:rsidR="006D63AC" w:rsidRPr="006D63AC" w:rsidRDefault="006D63AC" w:rsidP="001D022B">
            <w:pPr>
              <w:rPr>
                <w:rFonts w:ascii="Times New Roman" w:hAnsi="Times New Roman" w:cs="Times New Roman"/>
                <w:sz w:val="24"/>
                <w:szCs w:val="24"/>
              </w:rPr>
            </w:pPr>
            <w:r w:rsidRPr="006D63AC">
              <w:rPr>
                <w:rFonts w:ascii="Times New Roman" w:hAnsi="Times New Roman" w:cs="Times New Roman"/>
                <w:sz w:val="24"/>
                <w:szCs w:val="24"/>
              </w:rPr>
              <w:t>90%</w:t>
            </w:r>
          </w:p>
        </w:tc>
        <w:tc>
          <w:tcPr>
            <w:tcW w:w="4500" w:type="dxa"/>
            <w:tcBorders>
              <w:top w:val="nil"/>
              <w:left w:val="nil"/>
              <w:bottom w:val="nil"/>
              <w:right w:val="nil"/>
            </w:tcBorders>
            <w:tcMar>
              <w:top w:w="15" w:type="dxa"/>
              <w:left w:w="60" w:type="dxa"/>
              <w:bottom w:w="60" w:type="dxa"/>
              <w:right w:w="60" w:type="dxa"/>
            </w:tcMar>
            <w:hideMark/>
          </w:tcPr>
          <w:p w14:paraId="33FCFC58" w14:textId="77777777" w:rsidR="006D63AC" w:rsidRPr="006D63AC" w:rsidRDefault="006D63AC" w:rsidP="001D022B">
            <w:pPr>
              <w:rPr>
                <w:rFonts w:ascii="Times New Roman" w:hAnsi="Times New Roman" w:cs="Times New Roman"/>
                <w:sz w:val="24"/>
                <w:szCs w:val="24"/>
              </w:rPr>
            </w:pPr>
            <w:r w:rsidRPr="006D63AC">
              <w:rPr>
                <w:rFonts w:ascii="Times New Roman" w:hAnsi="Times New Roman" w:cs="Times New Roman"/>
                <w:sz w:val="24"/>
                <w:szCs w:val="24"/>
              </w:rPr>
              <w:t>100%</w:t>
            </w:r>
          </w:p>
        </w:tc>
      </w:tr>
      <w:tr w:rsidR="006D63AC" w:rsidRPr="006D63AC" w14:paraId="37630116" w14:textId="77777777" w:rsidTr="001D022B">
        <w:tc>
          <w:tcPr>
            <w:tcW w:w="5385" w:type="dxa"/>
            <w:tcBorders>
              <w:top w:val="nil"/>
              <w:left w:val="nil"/>
              <w:bottom w:val="nil"/>
              <w:right w:val="nil"/>
            </w:tcBorders>
            <w:tcMar>
              <w:top w:w="15" w:type="dxa"/>
              <w:left w:w="60" w:type="dxa"/>
              <w:bottom w:w="60" w:type="dxa"/>
              <w:right w:w="60" w:type="dxa"/>
            </w:tcMar>
            <w:hideMark/>
          </w:tcPr>
          <w:p w14:paraId="6AE48C0B" w14:textId="77777777" w:rsidR="006D63AC" w:rsidRPr="006D63AC" w:rsidRDefault="006D63AC" w:rsidP="001D022B">
            <w:pPr>
              <w:rPr>
                <w:rFonts w:ascii="Times New Roman" w:hAnsi="Times New Roman" w:cs="Times New Roman"/>
                <w:sz w:val="24"/>
                <w:szCs w:val="24"/>
              </w:rPr>
            </w:pPr>
            <w:r w:rsidRPr="006D63AC">
              <w:rPr>
                <w:rFonts w:ascii="Times New Roman" w:hAnsi="Times New Roman" w:cs="Times New Roman"/>
                <w:sz w:val="24"/>
                <w:szCs w:val="24"/>
              </w:rPr>
              <w:t>100%</w:t>
            </w:r>
          </w:p>
        </w:tc>
        <w:tc>
          <w:tcPr>
            <w:tcW w:w="4500" w:type="dxa"/>
            <w:tcBorders>
              <w:top w:val="nil"/>
              <w:left w:val="nil"/>
              <w:bottom w:val="nil"/>
              <w:right w:val="nil"/>
            </w:tcBorders>
            <w:tcMar>
              <w:top w:w="15" w:type="dxa"/>
              <w:left w:w="60" w:type="dxa"/>
              <w:bottom w:w="60" w:type="dxa"/>
              <w:right w:w="60" w:type="dxa"/>
            </w:tcMar>
            <w:hideMark/>
          </w:tcPr>
          <w:p w14:paraId="5CDD7875" w14:textId="77777777" w:rsidR="006D63AC" w:rsidRPr="006D63AC" w:rsidRDefault="006D63AC" w:rsidP="001D022B">
            <w:pPr>
              <w:rPr>
                <w:rFonts w:ascii="Times New Roman" w:hAnsi="Times New Roman" w:cs="Times New Roman"/>
                <w:sz w:val="24"/>
                <w:szCs w:val="24"/>
              </w:rPr>
            </w:pPr>
          </w:p>
        </w:tc>
      </w:tr>
    </w:tbl>
    <w:p w14:paraId="6C2D8800" w14:textId="77777777" w:rsidR="006D63AC" w:rsidRPr="006D63AC" w:rsidRDefault="006D63AC" w:rsidP="006D63AC">
      <w:pPr>
        <w:spacing w:after="0"/>
        <w:rPr>
          <w:rFonts w:ascii="Times New Roman" w:hAnsi="Times New Roman" w:cs="Times New Roman"/>
          <w:sz w:val="24"/>
          <w:szCs w:val="24"/>
        </w:rPr>
      </w:pPr>
    </w:p>
    <w:p w14:paraId="29C74E21" w14:textId="77777777" w:rsidR="006D63AC" w:rsidRPr="006D63AC" w:rsidRDefault="006D63AC" w:rsidP="006D63AC">
      <w:pPr>
        <w:spacing w:after="0"/>
        <w:ind w:left="1080"/>
        <w:jc w:val="both"/>
        <w:rPr>
          <w:rFonts w:ascii="Times New Roman" w:hAnsi="Times New Roman" w:cs="Times New Roman"/>
          <w:sz w:val="24"/>
          <w:szCs w:val="24"/>
        </w:rPr>
      </w:pPr>
      <w:r w:rsidRPr="006D63AC">
        <w:rPr>
          <w:rFonts w:ascii="Times New Roman" w:hAnsi="Times New Roman" w:cs="Times New Roman"/>
          <w:sz w:val="24"/>
          <w:szCs w:val="24"/>
        </w:rPr>
        <w:t>If the phasing set forth above is not feasible due to the nature of the development, all of the restricted units must be completed prior to the completion of any of the market-rate units unless the developer has entered into an agreement with the Township setting forth a phasing schedule designed to ensure that the restricted units are actually constructed.</w:t>
      </w:r>
    </w:p>
    <w:p w14:paraId="5E0D11A4" w14:textId="77777777" w:rsidR="006D63AC" w:rsidRPr="006D63AC" w:rsidRDefault="006D63AC" w:rsidP="006D63AC">
      <w:pPr>
        <w:spacing w:after="0"/>
        <w:ind w:left="1080" w:hanging="360"/>
        <w:rPr>
          <w:rFonts w:ascii="Times New Roman" w:hAnsi="Times New Roman" w:cs="Times New Roman"/>
          <w:sz w:val="24"/>
          <w:szCs w:val="24"/>
        </w:rPr>
      </w:pPr>
    </w:p>
    <w:p w14:paraId="366AAF9F" w14:textId="77777777" w:rsidR="006D63AC" w:rsidRPr="006D63AC" w:rsidRDefault="006D63AC" w:rsidP="006D63AC">
      <w:pPr>
        <w:ind w:left="1080" w:hanging="360"/>
        <w:rPr>
          <w:rFonts w:ascii="Times New Roman" w:hAnsi="Times New Roman" w:cs="Times New Roman"/>
          <w:sz w:val="24"/>
          <w:szCs w:val="24"/>
        </w:rPr>
      </w:pPr>
      <w:r w:rsidRPr="006D63AC">
        <w:rPr>
          <w:rFonts w:ascii="Times New Roman" w:hAnsi="Times New Roman" w:cs="Times New Roman"/>
          <w:sz w:val="24"/>
          <w:szCs w:val="24"/>
        </w:rPr>
        <w:t>(g</w:t>
      </w:r>
      <w:proofErr w:type="gramStart"/>
      <w:r w:rsidRPr="006D63AC">
        <w:rPr>
          <w:rFonts w:ascii="Times New Roman" w:hAnsi="Times New Roman" w:cs="Times New Roman"/>
          <w:sz w:val="24"/>
          <w:szCs w:val="24"/>
        </w:rPr>
        <w:t>)  All</w:t>
      </w:r>
      <w:proofErr w:type="gramEnd"/>
      <w:r w:rsidRPr="006D63AC">
        <w:rPr>
          <w:rFonts w:ascii="Times New Roman" w:hAnsi="Times New Roman" w:cs="Times New Roman"/>
          <w:sz w:val="24"/>
          <w:szCs w:val="24"/>
        </w:rPr>
        <w:t xml:space="preserve"> to-be-constructed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 xml:space="preserve">units shall be specifically identified on the site plan for the qualifying development project, along with the support services required to sustain such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units. It is the intent herein to not only encourage but to sustain a quality of life for affordable housing residents within prescribed residential developments.</w:t>
      </w:r>
    </w:p>
    <w:p w14:paraId="35E047F2" w14:textId="77777777" w:rsidR="006D63AC" w:rsidRPr="006D63AC" w:rsidRDefault="006D63AC" w:rsidP="006D63AC">
      <w:pPr>
        <w:ind w:left="1080" w:hanging="360"/>
        <w:rPr>
          <w:rFonts w:ascii="Times New Roman" w:hAnsi="Times New Roman" w:cs="Times New Roman"/>
          <w:sz w:val="24"/>
          <w:szCs w:val="24"/>
        </w:rPr>
      </w:pPr>
      <w:r w:rsidRPr="006D63AC">
        <w:rPr>
          <w:rFonts w:ascii="Times New Roman" w:hAnsi="Times New Roman" w:cs="Times New Roman"/>
          <w:sz w:val="24"/>
          <w:szCs w:val="24"/>
        </w:rPr>
        <w:t xml:space="preserve">(h)  In pursing the development of </w:t>
      </w:r>
      <w:r w:rsidRPr="006D63AC">
        <w:rPr>
          <w:rFonts w:ascii="Times New Roman" w:hAnsi="Times New Roman" w:cs="Times New Roman"/>
          <w:color w:val="000000" w:themeColor="text1"/>
          <w:sz w:val="24"/>
          <w:szCs w:val="24"/>
        </w:rPr>
        <w:t xml:space="preserve">restricted units </w:t>
      </w:r>
      <w:r w:rsidRPr="006D63AC">
        <w:rPr>
          <w:rFonts w:ascii="Times New Roman" w:hAnsi="Times New Roman" w:cs="Times New Roman"/>
          <w:sz w:val="24"/>
          <w:szCs w:val="24"/>
        </w:rPr>
        <w:t xml:space="preserve">as part of a qualifying development project, the Planning Board or Zoning Board, as applicable, may grant such bulk (c) variances and/or design waivers as may be necessary to assist in adjusting the site plan configuration to provide for such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 xml:space="preserve">units, thereby allowing the placement of disbursed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 xml:space="preserve">units throughout the qualifying development project. Notwithstanding this requirement, the lot area standards set forth on Table I: Use, </w:t>
      </w:r>
      <w:r w:rsidRPr="006D63AC">
        <w:rPr>
          <w:rFonts w:ascii="Times New Roman" w:hAnsi="Times New Roman" w:cs="Times New Roman"/>
          <w:sz w:val="24"/>
          <w:szCs w:val="24"/>
        </w:rPr>
        <w:lastRenderedPageBreak/>
        <w:t>Area, Yard and Bulk Regulations for the PA, FA-5, FA-WEST, FA-20, R-5, VR, TR, R, R-1 and PIRD Zones and the standards, application procedures or other provisions contained in Article </w:t>
      </w:r>
      <w:r w:rsidRPr="006D63AC">
        <w:rPr>
          <w:rFonts w:ascii="Times New Roman" w:hAnsi="Times New Roman" w:cs="Times New Roman"/>
          <w:b/>
          <w:bCs/>
          <w:sz w:val="24"/>
          <w:szCs w:val="24"/>
        </w:rPr>
        <w:t>X</w:t>
      </w:r>
      <w:r w:rsidRPr="006D63AC">
        <w:rPr>
          <w:rFonts w:ascii="Times New Roman" w:hAnsi="Times New Roman" w:cs="Times New Roman"/>
          <w:sz w:val="24"/>
          <w:szCs w:val="24"/>
        </w:rPr>
        <w:t>, Pinelands Area Standards, shall not be eliminated, waived or otherwise modified by the Township.</w:t>
      </w:r>
    </w:p>
    <w:p w14:paraId="7834D8F1" w14:textId="77777777" w:rsidR="006D63AC" w:rsidRPr="006D63AC" w:rsidRDefault="006D63AC" w:rsidP="006D63AC">
      <w:pPr>
        <w:ind w:left="1080" w:hanging="360"/>
        <w:rPr>
          <w:rFonts w:ascii="Times New Roman" w:hAnsi="Times New Roman" w:cs="Times New Roman"/>
          <w:sz w:val="24"/>
          <w:szCs w:val="24"/>
        </w:rPr>
      </w:pPr>
      <w:r w:rsidRPr="006D63AC">
        <w:rPr>
          <w:rFonts w:ascii="Times New Roman" w:hAnsi="Times New Roman" w:cs="Times New Roman"/>
          <w:sz w:val="24"/>
          <w:szCs w:val="24"/>
        </w:rPr>
        <w:t>(i</w:t>
      </w:r>
      <w:proofErr w:type="gramStart"/>
      <w:r w:rsidRPr="006D63AC">
        <w:rPr>
          <w:rFonts w:ascii="Times New Roman" w:hAnsi="Times New Roman" w:cs="Times New Roman"/>
          <w:sz w:val="24"/>
          <w:szCs w:val="24"/>
        </w:rPr>
        <w:t>)  All</w:t>
      </w:r>
      <w:proofErr w:type="gramEnd"/>
      <w:r w:rsidRPr="006D63AC">
        <w:rPr>
          <w:rFonts w:ascii="Times New Roman" w:hAnsi="Times New Roman" w:cs="Times New Roman"/>
          <w:sz w:val="24"/>
          <w:szCs w:val="24"/>
        </w:rPr>
        <w:t xml:space="preserve"> </w:t>
      </w:r>
      <w:r w:rsidRPr="006D63AC">
        <w:rPr>
          <w:rFonts w:ascii="Times New Roman" w:hAnsi="Times New Roman" w:cs="Times New Roman"/>
          <w:color w:val="000000" w:themeColor="text1"/>
          <w:sz w:val="24"/>
          <w:szCs w:val="24"/>
        </w:rPr>
        <w:t xml:space="preserve">restricted </w:t>
      </w:r>
      <w:r w:rsidRPr="006D63AC">
        <w:rPr>
          <w:rFonts w:ascii="Times New Roman" w:hAnsi="Times New Roman" w:cs="Times New Roman"/>
          <w:sz w:val="24"/>
          <w:szCs w:val="24"/>
        </w:rPr>
        <w:t>units shall be deed-restricted by the developer for a period of at least 40 years in accordance with the UHAC. Copies of the proposed deed restrictions shall be submitted as part of the site plan review and approval process and must be recorded in the Atlantic County recording office prior to issuance of any construction permit for any dwelling unit or restricted unit that is part of the qualifying development project.</w:t>
      </w:r>
    </w:p>
    <w:p w14:paraId="1E738113" w14:textId="77777777" w:rsidR="006D63AC" w:rsidRPr="006D63AC" w:rsidRDefault="006D63AC" w:rsidP="006D63AC">
      <w:pPr>
        <w:ind w:left="1080" w:hanging="360"/>
        <w:rPr>
          <w:rFonts w:ascii="Times New Roman" w:hAnsi="Times New Roman" w:cs="Times New Roman"/>
          <w:sz w:val="24"/>
          <w:szCs w:val="24"/>
        </w:rPr>
      </w:pPr>
      <w:r w:rsidRPr="006D63AC">
        <w:rPr>
          <w:rFonts w:ascii="Times New Roman" w:hAnsi="Times New Roman" w:cs="Times New Roman"/>
          <w:sz w:val="24"/>
          <w:szCs w:val="24"/>
        </w:rPr>
        <w:t xml:space="preserve">(j) In addition to building types permitted in planned developments, </w:t>
      </w:r>
      <w:r w:rsidRPr="006D63AC">
        <w:rPr>
          <w:rFonts w:ascii="Times New Roman" w:hAnsi="Times New Roman" w:cs="Times New Roman"/>
          <w:color w:val="000000" w:themeColor="text1"/>
          <w:sz w:val="24"/>
          <w:szCs w:val="24"/>
        </w:rPr>
        <w:t>restricted units</w:t>
      </w:r>
      <w:r w:rsidRPr="006D63AC">
        <w:rPr>
          <w:rFonts w:ascii="Times New Roman" w:hAnsi="Times New Roman" w:cs="Times New Roman"/>
          <w:sz w:val="24"/>
          <w:szCs w:val="24"/>
        </w:rPr>
        <w:t xml:space="preserve"> may also include modular and manufactured housing units.</w:t>
      </w:r>
    </w:p>
    <w:p w14:paraId="502B828E" w14:textId="77777777" w:rsidR="006D63AC" w:rsidRPr="006D63AC" w:rsidRDefault="006D63AC" w:rsidP="006D63AC">
      <w:pPr>
        <w:ind w:left="720" w:hanging="360"/>
        <w:rPr>
          <w:rFonts w:ascii="Times New Roman" w:hAnsi="Times New Roman" w:cs="Times New Roman"/>
          <w:sz w:val="24"/>
          <w:szCs w:val="24"/>
        </w:rPr>
      </w:pPr>
      <w:r w:rsidRPr="006D63AC">
        <w:rPr>
          <w:rFonts w:ascii="Times New Roman" w:hAnsi="Times New Roman" w:cs="Times New Roman"/>
          <w:sz w:val="24"/>
          <w:szCs w:val="24"/>
        </w:rPr>
        <w:t>(3) The regulations contained in Article </w:t>
      </w:r>
      <w:r w:rsidRPr="006D63AC">
        <w:rPr>
          <w:rFonts w:ascii="Times New Roman" w:hAnsi="Times New Roman" w:cs="Times New Roman"/>
          <w:b/>
          <w:bCs/>
          <w:sz w:val="24"/>
          <w:szCs w:val="24"/>
        </w:rPr>
        <w:t>XII</w:t>
      </w:r>
      <w:r w:rsidRPr="006D63AC">
        <w:rPr>
          <w:rFonts w:ascii="Times New Roman" w:hAnsi="Times New Roman" w:cs="Times New Roman"/>
          <w:sz w:val="24"/>
          <w:szCs w:val="24"/>
        </w:rPr>
        <w:t>, Affordable Housing, shall also apply.</w:t>
      </w:r>
    </w:p>
    <w:p w14:paraId="193EA5D8" w14:textId="77777777" w:rsidR="003D4374" w:rsidRPr="006D63AC" w:rsidRDefault="003D4374" w:rsidP="006D63AC">
      <w:pPr>
        <w:rPr>
          <w:rFonts w:ascii="Times New Roman" w:eastAsia="Times New Roman" w:hAnsi="Times New Roman" w:cs="Times New Roman"/>
          <w:color w:val="000000"/>
          <w:sz w:val="24"/>
          <w:szCs w:val="24"/>
          <w:bdr w:val="none" w:sz="0" w:space="0" w:color="auto" w:frame="1"/>
        </w:rPr>
      </w:pPr>
    </w:p>
    <w:sectPr w:rsidR="003D4374" w:rsidRPr="006D6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CB3"/>
    <w:multiLevelType w:val="hybridMultilevel"/>
    <w:tmpl w:val="97F881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2D40CA"/>
    <w:multiLevelType w:val="hybridMultilevel"/>
    <w:tmpl w:val="0DE2DA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2BE560B"/>
    <w:multiLevelType w:val="hybridMultilevel"/>
    <w:tmpl w:val="397CBF9A"/>
    <w:lvl w:ilvl="0" w:tplc="2EA4CB84">
      <w:start w:val="1"/>
      <w:numFmt w:val="decimal"/>
      <w:lvlText w:val="%1."/>
      <w:lvlJc w:val="left"/>
      <w:pPr>
        <w:ind w:left="2565" w:hanging="405"/>
      </w:pPr>
      <w:rPr>
        <w:rFonts w:ascii="Times New Roman" w:eastAsiaTheme="minorHAnsi" w:hAnsi="Times New Roman" w:cs="Times New Roman" w:hint="default"/>
        <w:color w:val="auto"/>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F7817BF"/>
    <w:multiLevelType w:val="hybridMultilevel"/>
    <w:tmpl w:val="7E645F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0F7042"/>
    <w:multiLevelType w:val="hybridMultilevel"/>
    <w:tmpl w:val="89BC90B6"/>
    <w:lvl w:ilvl="0" w:tplc="9456420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65637A"/>
    <w:multiLevelType w:val="hybridMultilevel"/>
    <w:tmpl w:val="FEACDA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04C45AB"/>
    <w:multiLevelType w:val="multilevel"/>
    <w:tmpl w:val="6F9423C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4FE36FD"/>
    <w:multiLevelType w:val="hybridMultilevel"/>
    <w:tmpl w:val="4672DD22"/>
    <w:lvl w:ilvl="0" w:tplc="04090015">
      <w:start w:val="1"/>
      <w:numFmt w:val="upperLetter"/>
      <w:lvlText w:val="%1."/>
      <w:lvlJc w:val="left"/>
      <w:pPr>
        <w:ind w:left="720" w:hanging="360"/>
      </w:pPr>
      <w:rPr>
        <w:rFonts w:hint="default"/>
      </w:rPr>
    </w:lvl>
    <w:lvl w:ilvl="1" w:tplc="E2C2B7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5F4D72"/>
    <w:multiLevelType w:val="multilevel"/>
    <w:tmpl w:val="6F9423C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EC66E1A"/>
    <w:multiLevelType w:val="hybridMultilevel"/>
    <w:tmpl w:val="5E789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19649FD"/>
    <w:multiLevelType w:val="hybridMultilevel"/>
    <w:tmpl w:val="288036C8"/>
    <w:lvl w:ilvl="0" w:tplc="FC5E2A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59380737">
    <w:abstractNumId w:val="4"/>
  </w:num>
  <w:num w:numId="2" w16cid:durableId="1414544465">
    <w:abstractNumId w:val="6"/>
  </w:num>
  <w:num w:numId="3" w16cid:durableId="1001544318">
    <w:abstractNumId w:val="7"/>
  </w:num>
  <w:num w:numId="4" w16cid:durableId="1667782183">
    <w:abstractNumId w:val="3"/>
  </w:num>
  <w:num w:numId="5" w16cid:durableId="319042489">
    <w:abstractNumId w:val="5"/>
  </w:num>
  <w:num w:numId="6" w16cid:durableId="1167982912">
    <w:abstractNumId w:val="9"/>
  </w:num>
  <w:num w:numId="7" w16cid:durableId="585455367">
    <w:abstractNumId w:val="0"/>
  </w:num>
  <w:num w:numId="8" w16cid:durableId="668749021">
    <w:abstractNumId w:val="8"/>
  </w:num>
  <w:num w:numId="9" w16cid:durableId="1423212182">
    <w:abstractNumId w:val="1"/>
  </w:num>
  <w:num w:numId="10" w16cid:durableId="1778332474">
    <w:abstractNumId w:val="10"/>
  </w:num>
  <w:num w:numId="11" w16cid:durableId="881406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B3"/>
    <w:rsid w:val="00016392"/>
    <w:rsid w:val="00020B42"/>
    <w:rsid w:val="00044941"/>
    <w:rsid w:val="00052663"/>
    <w:rsid w:val="00087954"/>
    <w:rsid w:val="000B22AE"/>
    <w:rsid w:val="000B2D3B"/>
    <w:rsid w:val="0011519E"/>
    <w:rsid w:val="001641C7"/>
    <w:rsid w:val="001A3A4C"/>
    <w:rsid w:val="001E2D2B"/>
    <w:rsid w:val="002360E0"/>
    <w:rsid w:val="00263B98"/>
    <w:rsid w:val="002645E9"/>
    <w:rsid w:val="00270950"/>
    <w:rsid w:val="002C5BCA"/>
    <w:rsid w:val="002C64D0"/>
    <w:rsid w:val="003026B0"/>
    <w:rsid w:val="003435AE"/>
    <w:rsid w:val="00371B3B"/>
    <w:rsid w:val="0037592B"/>
    <w:rsid w:val="003A1C2F"/>
    <w:rsid w:val="003B2481"/>
    <w:rsid w:val="003B6998"/>
    <w:rsid w:val="003B793E"/>
    <w:rsid w:val="003C67E8"/>
    <w:rsid w:val="003D4374"/>
    <w:rsid w:val="003D7496"/>
    <w:rsid w:val="004473CA"/>
    <w:rsid w:val="00461439"/>
    <w:rsid w:val="00467BC3"/>
    <w:rsid w:val="00474475"/>
    <w:rsid w:val="004E197B"/>
    <w:rsid w:val="004F02E5"/>
    <w:rsid w:val="00520A4C"/>
    <w:rsid w:val="0055410F"/>
    <w:rsid w:val="00572A37"/>
    <w:rsid w:val="005C4ED9"/>
    <w:rsid w:val="005C50E0"/>
    <w:rsid w:val="006A3D37"/>
    <w:rsid w:val="006B26B7"/>
    <w:rsid w:val="006D63AC"/>
    <w:rsid w:val="006E1A93"/>
    <w:rsid w:val="007166D5"/>
    <w:rsid w:val="00717EAC"/>
    <w:rsid w:val="00726382"/>
    <w:rsid w:val="00735E60"/>
    <w:rsid w:val="00736647"/>
    <w:rsid w:val="0078163A"/>
    <w:rsid w:val="007B0FCB"/>
    <w:rsid w:val="008034AA"/>
    <w:rsid w:val="00806CD3"/>
    <w:rsid w:val="00876296"/>
    <w:rsid w:val="00996B7C"/>
    <w:rsid w:val="009C2598"/>
    <w:rsid w:val="009E177F"/>
    <w:rsid w:val="009E637B"/>
    <w:rsid w:val="00A1510E"/>
    <w:rsid w:val="00A2113D"/>
    <w:rsid w:val="00A24D77"/>
    <w:rsid w:val="00A44C87"/>
    <w:rsid w:val="00A54E6E"/>
    <w:rsid w:val="00A63116"/>
    <w:rsid w:val="00A820B3"/>
    <w:rsid w:val="00B973C4"/>
    <w:rsid w:val="00BA64F6"/>
    <w:rsid w:val="00BD508C"/>
    <w:rsid w:val="00C411ED"/>
    <w:rsid w:val="00CA6AC2"/>
    <w:rsid w:val="00D54662"/>
    <w:rsid w:val="00D573B3"/>
    <w:rsid w:val="00DA1492"/>
    <w:rsid w:val="00DD4C45"/>
    <w:rsid w:val="00E132A0"/>
    <w:rsid w:val="00E25752"/>
    <w:rsid w:val="00E27BAA"/>
    <w:rsid w:val="00E84FDE"/>
    <w:rsid w:val="00E863D4"/>
    <w:rsid w:val="00E87453"/>
    <w:rsid w:val="00F24498"/>
    <w:rsid w:val="00F40E3B"/>
    <w:rsid w:val="00F51488"/>
    <w:rsid w:val="00F9496D"/>
    <w:rsid w:val="00FC774B"/>
    <w:rsid w:val="00FD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CEDA"/>
  <w15:chartTrackingRefBased/>
  <w15:docId w15:val="{034F1843-95BD-46E9-A39E-E99D1B2B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3B3"/>
    <w:pPr>
      <w:ind w:left="720"/>
      <w:contextualSpacing/>
    </w:pPr>
  </w:style>
  <w:style w:type="character" w:styleId="CommentReference">
    <w:name w:val="annotation reference"/>
    <w:basedOn w:val="DefaultParagraphFont"/>
    <w:uiPriority w:val="99"/>
    <w:semiHidden/>
    <w:unhideWhenUsed/>
    <w:rsid w:val="00A54E6E"/>
    <w:rPr>
      <w:sz w:val="16"/>
      <w:szCs w:val="16"/>
    </w:rPr>
  </w:style>
  <w:style w:type="paragraph" w:styleId="CommentText">
    <w:name w:val="annotation text"/>
    <w:basedOn w:val="Normal"/>
    <w:link w:val="CommentTextChar"/>
    <w:uiPriority w:val="99"/>
    <w:semiHidden/>
    <w:unhideWhenUsed/>
    <w:rsid w:val="00A54E6E"/>
    <w:pPr>
      <w:spacing w:line="240" w:lineRule="auto"/>
    </w:pPr>
    <w:rPr>
      <w:sz w:val="20"/>
      <w:szCs w:val="20"/>
    </w:rPr>
  </w:style>
  <w:style w:type="character" w:customStyle="1" w:styleId="CommentTextChar">
    <w:name w:val="Comment Text Char"/>
    <w:basedOn w:val="DefaultParagraphFont"/>
    <w:link w:val="CommentText"/>
    <w:uiPriority w:val="99"/>
    <w:semiHidden/>
    <w:rsid w:val="00A54E6E"/>
    <w:rPr>
      <w:sz w:val="20"/>
      <w:szCs w:val="20"/>
    </w:rPr>
  </w:style>
  <w:style w:type="paragraph" w:styleId="CommentSubject">
    <w:name w:val="annotation subject"/>
    <w:basedOn w:val="CommentText"/>
    <w:next w:val="CommentText"/>
    <w:link w:val="CommentSubjectChar"/>
    <w:uiPriority w:val="99"/>
    <w:semiHidden/>
    <w:unhideWhenUsed/>
    <w:rsid w:val="00A54E6E"/>
    <w:rPr>
      <w:b/>
      <w:bCs/>
    </w:rPr>
  </w:style>
  <w:style w:type="character" w:customStyle="1" w:styleId="CommentSubjectChar">
    <w:name w:val="Comment Subject Char"/>
    <w:basedOn w:val="CommentTextChar"/>
    <w:link w:val="CommentSubject"/>
    <w:uiPriority w:val="99"/>
    <w:semiHidden/>
    <w:rsid w:val="00A54E6E"/>
    <w:rPr>
      <w:b/>
      <w:bCs/>
      <w:sz w:val="20"/>
      <w:szCs w:val="20"/>
    </w:rPr>
  </w:style>
  <w:style w:type="paragraph" w:styleId="Revision">
    <w:name w:val="Revision"/>
    <w:hidden/>
    <w:uiPriority w:val="99"/>
    <w:semiHidden/>
    <w:rsid w:val="007B0FCB"/>
    <w:pPr>
      <w:spacing w:after="0" w:line="240" w:lineRule="auto"/>
    </w:pPr>
  </w:style>
  <w:style w:type="paragraph" w:styleId="NormalWeb">
    <w:name w:val="Normal (Web)"/>
    <w:basedOn w:val="Normal"/>
    <w:rsid w:val="003026B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rsid w:val="003026B0"/>
    <w:pPr>
      <w:widowControl w:val="0"/>
      <w:numPr>
        <w:ilvl w:val="12"/>
      </w:numPr>
      <w:tabs>
        <w:tab w:val="left" w:pos="720"/>
      </w:tabs>
      <w:autoSpaceDE w:val="0"/>
      <w:autoSpaceDN w:val="0"/>
      <w:adjustRightInd w:val="0"/>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026B0"/>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rsid w:val="003026B0"/>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3026B0"/>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52663"/>
    <w:rPr>
      <w:color w:val="0000FF"/>
      <w:u w:val="single"/>
    </w:rPr>
  </w:style>
  <w:style w:type="character" w:customStyle="1" w:styleId="ssit">
    <w:name w:val="ss_it"/>
    <w:basedOn w:val="DefaultParagraphFont"/>
    <w:rsid w:val="00467BC3"/>
  </w:style>
  <w:style w:type="character" w:customStyle="1" w:styleId="ssheadnotelink">
    <w:name w:val="ss_headnotelink"/>
    <w:basedOn w:val="DefaultParagraphFont"/>
    <w:rsid w:val="00467BC3"/>
  </w:style>
  <w:style w:type="character" w:customStyle="1" w:styleId="sssh">
    <w:name w:val="ss_sh"/>
    <w:basedOn w:val="DefaultParagraphFont"/>
    <w:rsid w:val="00467BC3"/>
  </w:style>
  <w:style w:type="paragraph" w:styleId="NoSpacing">
    <w:name w:val="No Spacing"/>
    <w:uiPriority w:val="1"/>
    <w:qFormat/>
    <w:rsid w:val="000B2D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40608">
      <w:bodyDiv w:val="1"/>
      <w:marLeft w:val="0"/>
      <w:marRight w:val="0"/>
      <w:marTop w:val="0"/>
      <w:marBottom w:val="0"/>
      <w:divBdr>
        <w:top w:val="none" w:sz="0" w:space="0" w:color="auto"/>
        <w:left w:val="none" w:sz="0" w:space="0" w:color="auto"/>
        <w:bottom w:val="none" w:sz="0" w:space="0" w:color="auto"/>
        <w:right w:val="none" w:sz="0" w:space="0" w:color="auto"/>
      </w:divBdr>
    </w:div>
    <w:div w:id="258417411">
      <w:bodyDiv w:val="1"/>
      <w:marLeft w:val="0"/>
      <w:marRight w:val="0"/>
      <w:marTop w:val="0"/>
      <w:marBottom w:val="0"/>
      <w:divBdr>
        <w:top w:val="none" w:sz="0" w:space="0" w:color="auto"/>
        <w:left w:val="none" w:sz="0" w:space="0" w:color="auto"/>
        <w:bottom w:val="none" w:sz="0" w:space="0" w:color="auto"/>
        <w:right w:val="none" w:sz="0" w:space="0" w:color="auto"/>
      </w:divBdr>
      <w:divsChild>
        <w:div w:id="1973244190">
          <w:marLeft w:val="0"/>
          <w:marRight w:val="0"/>
          <w:marTop w:val="0"/>
          <w:marBottom w:val="0"/>
          <w:divBdr>
            <w:top w:val="none" w:sz="0" w:space="0" w:color="auto"/>
            <w:left w:val="none" w:sz="0" w:space="0" w:color="auto"/>
            <w:bottom w:val="none" w:sz="0" w:space="0" w:color="auto"/>
            <w:right w:val="none" w:sz="0" w:space="0" w:color="auto"/>
          </w:divBdr>
        </w:div>
      </w:divsChild>
    </w:div>
    <w:div w:id="639387660">
      <w:bodyDiv w:val="1"/>
      <w:marLeft w:val="0"/>
      <w:marRight w:val="0"/>
      <w:marTop w:val="0"/>
      <w:marBottom w:val="0"/>
      <w:divBdr>
        <w:top w:val="none" w:sz="0" w:space="0" w:color="auto"/>
        <w:left w:val="none" w:sz="0" w:space="0" w:color="auto"/>
        <w:bottom w:val="none" w:sz="0" w:space="0" w:color="auto"/>
        <w:right w:val="none" w:sz="0" w:space="0" w:color="auto"/>
      </w:divBdr>
    </w:div>
    <w:div w:id="931473783">
      <w:bodyDiv w:val="1"/>
      <w:marLeft w:val="0"/>
      <w:marRight w:val="0"/>
      <w:marTop w:val="0"/>
      <w:marBottom w:val="0"/>
      <w:divBdr>
        <w:top w:val="none" w:sz="0" w:space="0" w:color="auto"/>
        <w:left w:val="none" w:sz="0" w:space="0" w:color="auto"/>
        <w:bottom w:val="none" w:sz="0" w:space="0" w:color="auto"/>
        <w:right w:val="none" w:sz="0" w:space="0" w:color="auto"/>
      </w:divBdr>
    </w:div>
    <w:div w:id="1156648713">
      <w:bodyDiv w:val="1"/>
      <w:marLeft w:val="0"/>
      <w:marRight w:val="0"/>
      <w:marTop w:val="0"/>
      <w:marBottom w:val="0"/>
      <w:divBdr>
        <w:top w:val="none" w:sz="0" w:space="0" w:color="auto"/>
        <w:left w:val="none" w:sz="0" w:space="0" w:color="auto"/>
        <w:bottom w:val="none" w:sz="0" w:space="0" w:color="auto"/>
        <w:right w:val="none" w:sz="0" w:space="0" w:color="auto"/>
      </w:divBdr>
      <w:divsChild>
        <w:div w:id="956957884">
          <w:marLeft w:val="0"/>
          <w:marRight w:val="0"/>
          <w:marTop w:val="180"/>
          <w:marBottom w:val="180"/>
          <w:divBdr>
            <w:top w:val="none" w:sz="0" w:space="0" w:color="auto"/>
            <w:left w:val="none" w:sz="0" w:space="0" w:color="auto"/>
            <w:bottom w:val="none" w:sz="0" w:space="0" w:color="auto"/>
            <w:right w:val="none" w:sz="0" w:space="0" w:color="auto"/>
          </w:divBdr>
          <w:divsChild>
            <w:div w:id="1184973617">
              <w:marLeft w:val="480"/>
              <w:marRight w:val="0"/>
              <w:marTop w:val="0"/>
              <w:marBottom w:val="0"/>
              <w:divBdr>
                <w:top w:val="none" w:sz="0" w:space="0" w:color="auto"/>
                <w:left w:val="none" w:sz="0" w:space="0" w:color="auto"/>
                <w:bottom w:val="none" w:sz="0" w:space="0" w:color="auto"/>
                <w:right w:val="none" w:sz="0" w:space="0" w:color="auto"/>
              </w:divBdr>
              <w:divsChild>
                <w:div w:id="1957062802">
                  <w:marLeft w:val="0"/>
                  <w:marRight w:val="0"/>
                  <w:marTop w:val="0"/>
                  <w:marBottom w:val="0"/>
                  <w:divBdr>
                    <w:top w:val="none" w:sz="0" w:space="0" w:color="auto"/>
                    <w:left w:val="none" w:sz="0" w:space="0" w:color="auto"/>
                    <w:bottom w:val="none" w:sz="0" w:space="0" w:color="auto"/>
                    <w:right w:val="none" w:sz="0" w:space="0" w:color="auto"/>
                  </w:divBdr>
                  <w:divsChild>
                    <w:div w:id="1579948761">
                      <w:marLeft w:val="0"/>
                      <w:marRight w:val="0"/>
                      <w:marTop w:val="180"/>
                      <w:marBottom w:val="180"/>
                      <w:divBdr>
                        <w:top w:val="none" w:sz="0" w:space="0" w:color="auto"/>
                        <w:left w:val="none" w:sz="0" w:space="0" w:color="auto"/>
                        <w:bottom w:val="none" w:sz="0" w:space="0" w:color="auto"/>
                        <w:right w:val="none" w:sz="0" w:space="0" w:color="auto"/>
                      </w:divBdr>
                      <w:divsChild>
                        <w:div w:id="2130081012">
                          <w:marLeft w:val="480"/>
                          <w:marRight w:val="0"/>
                          <w:marTop w:val="0"/>
                          <w:marBottom w:val="0"/>
                          <w:divBdr>
                            <w:top w:val="none" w:sz="0" w:space="0" w:color="auto"/>
                            <w:left w:val="none" w:sz="0" w:space="0" w:color="auto"/>
                            <w:bottom w:val="none" w:sz="0" w:space="0" w:color="auto"/>
                            <w:right w:val="none" w:sz="0" w:space="0" w:color="auto"/>
                          </w:divBdr>
                          <w:divsChild>
                            <w:div w:id="254944499">
                              <w:marLeft w:val="0"/>
                              <w:marRight w:val="0"/>
                              <w:marTop w:val="0"/>
                              <w:marBottom w:val="0"/>
                              <w:divBdr>
                                <w:top w:val="none" w:sz="0" w:space="0" w:color="auto"/>
                                <w:left w:val="none" w:sz="0" w:space="0" w:color="auto"/>
                                <w:bottom w:val="none" w:sz="0" w:space="0" w:color="auto"/>
                                <w:right w:val="none" w:sz="0" w:space="0" w:color="auto"/>
                              </w:divBdr>
                              <w:divsChild>
                                <w:div w:id="1294096962">
                                  <w:marLeft w:val="0"/>
                                  <w:marRight w:val="0"/>
                                  <w:marTop w:val="180"/>
                                  <w:marBottom w:val="180"/>
                                  <w:divBdr>
                                    <w:top w:val="none" w:sz="0" w:space="0" w:color="auto"/>
                                    <w:left w:val="none" w:sz="0" w:space="0" w:color="auto"/>
                                    <w:bottom w:val="none" w:sz="0" w:space="0" w:color="auto"/>
                                    <w:right w:val="none" w:sz="0" w:space="0" w:color="auto"/>
                                  </w:divBdr>
                                  <w:divsChild>
                                    <w:div w:id="1601524213">
                                      <w:marLeft w:val="480"/>
                                      <w:marRight w:val="0"/>
                                      <w:marTop w:val="0"/>
                                      <w:marBottom w:val="0"/>
                                      <w:divBdr>
                                        <w:top w:val="none" w:sz="0" w:space="0" w:color="auto"/>
                                        <w:left w:val="none" w:sz="0" w:space="0" w:color="auto"/>
                                        <w:bottom w:val="none" w:sz="0" w:space="0" w:color="auto"/>
                                        <w:right w:val="none" w:sz="0" w:space="0" w:color="auto"/>
                                      </w:divBdr>
                                    </w:div>
                                  </w:divsChild>
                                </w:div>
                                <w:div w:id="86004068">
                                  <w:marLeft w:val="0"/>
                                  <w:marRight w:val="0"/>
                                  <w:marTop w:val="180"/>
                                  <w:marBottom w:val="180"/>
                                  <w:divBdr>
                                    <w:top w:val="none" w:sz="0" w:space="0" w:color="auto"/>
                                    <w:left w:val="none" w:sz="0" w:space="0" w:color="auto"/>
                                    <w:bottom w:val="none" w:sz="0" w:space="0" w:color="auto"/>
                                    <w:right w:val="none" w:sz="0" w:space="0" w:color="auto"/>
                                  </w:divBdr>
                                  <w:divsChild>
                                    <w:div w:id="1104152086">
                                      <w:marLeft w:val="480"/>
                                      <w:marRight w:val="0"/>
                                      <w:marTop w:val="0"/>
                                      <w:marBottom w:val="0"/>
                                      <w:divBdr>
                                        <w:top w:val="none" w:sz="0" w:space="0" w:color="auto"/>
                                        <w:left w:val="none" w:sz="0" w:space="0" w:color="auto"/>
                                        <w:bottom w:val="none" w:sz="0" w:space="0" w:color="auto"/>
                                        <w:right w:val="none" w:sz="0" w:space="0" w:color="auto"/>
                                      </w:divBdr>
                                    </w:div>
                                  </w:divsChild>
                                </w:div>
                                <w:div w:id="1601449871">
                                  <w:marLeft w:val="0"/>
                                  <w:marRight w:val="0"/>
                                  <w:marTop w:val="180"/>
                                  <w:marBottom w:val="0"/>
                                  <w:divBdr>
                                    <w:top w:val="none" w:sz="0" w:space="0" w:color="auto"/>
                                    <w:left w:val="none" w:sz="0" w:space="0" w:color="auto"/>
                                    <w:bottom w:val="none" w:sz="0" w:space="0" w:color="auto"/>
                                    <w:right w:val="none" w:sz="0" w:space="0" w:color="auto"/>
                                  </w:divBdr>
                                  <w:divsChild>
                                    <w:div w:id="20676083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01888">
                      <w:marLeft w:val="0"/>
                      <w:marRight w:val="0"/>
                      <w:marTop w:val="180"/>
                      <w:marBottom w:val="0"/>
                      <w:divBdr>
                        <w:top w:val="none" w:sz="0" w:space="0" w:color="auto"/>
                        <w:left w:val="none" w:sz="0" w:space="0" w:color="auto"/>
                        <w:bottom w:val="none" w:sz="0" w:space="0" w:color="auto"/>
                        <w:right w:val="none" w:sz="0" w:space="0" w:color="auto"/>
                      </w:divBdr>
                      <w:divsChild>
                        <w:div w:id="1535726947">
                          <w:marLeft w:val="480"/>
                          <w:marRight w:val="0"/>
                          <w:marTop w:val="0"/>
                          <w:marBottom w:val="0"/>
                          <w:divBdr>
                            <w:top w:val="none" w:sz="0" w:space="0" w:color="auto"/>
                            <w:left w:val="none" w:sz="0" w:space="0" w:color="auto"/>
                            <w:bottom w:val="none" w:sz="0" w:space="0" w:color="auto"/>
                            <w:right w:val="none" w:sz="0" w:space="0" w:color="auto"/>
                          </w:divBdr>
                          <w:divsChild>
                            <w:div w:id="665980114">
                              <w:marLeft w:val="0"/>
                              <w:marRight w:val="0"/>
                              <w:marTop w:val="0"/>
                              <w:marBottom w:val="0"/>
                              <w:divBdr>
                                <w:top w:val="none" w:sz="0" w:space="0" w:color="auto"/>
                                <w:left w:val="none" w:sz="0" w:space="0" w:color="auto"/>
                                <w:bottom w:val="none" w:sz="0" w:space="0" w:color="auto"/>
                                <w:right w:val="none" w:sz="0" w:space="0" w:color="auto"/>
                              </w:divBdr>
                              <w:divsChild>
                                <w:div w:id="1160728107">
                                  <w:marLeft w:val="0"/>
                                  <w:marRight w:val="0"/>
                                  <w:marTop w:val="180"/>
                                  <w:marBottom w:val="180"/>
                                  <w:divBdr>
                                    <w:top w:val="none" w:sz="0" w:space="0" w:color="auto"/>
                                    <w:left w:val="none" w:sz="0" w:space="0" w:color="auto"/>
                                    <w:bottom w:val="none" w:sz="0" w:space="0" w:color="auto"/>
                                    <w:right w:val="none" w:sz="0" w:space="0" w:color="auto"/>
                                  </w:divBdr>
                                  <w:divsChild>
                                    <w:div w:id="227687990">
                                      <w:marLeft w:val="480"/>
                                      <w:marRight w:val="0"/>
                                      <w:marTop w:val="0"/>
                                      <w:marBottom w:val="0"/>
                                      <w:divBdr>
                                        <w:top w:val="none" w:sz="0" w:space="0" w:color="auto"/>
                                        <w:left w:val="none" w:sz="0" w:space="0" w:color="auto"/>
                                        <w:bottom w:val="none" w:sz="0" w:space="0" w:color="auto"/>
                                        <w:right w:val="none" w:sz="0" w:space="0" w:color="auto"/>
                                      </w:divBdr>
                                    </w:div>
                                  </w:divsChild>
                                </w:div>
                                <w:div w:id="729353266">
                                  <w:marLeft w:val="0"/>
                                  <w:marRight w:val="0"/>
                                  <w:marTop w:val="180"/>
                                  <w:marBottom w:val="180"/>
                                  <w:divBdr>
                                    <w:top w:val="none" w:sz="0" w:space="0" w:color="auto"/>
                                    <w:left w:val="none" w:sz="0" w:space="0" w:color="auto"/>
                                    <w:bottom w:val="none" w:sz="0" w:space="0" w:color="auto"/>
                                    <w:right w:val="none" w:sz="0" w:space="0" w:color="auto"/>
                                  </w:divBdr>
                                  <w:divsChild>
                                    <w:div w:id="1566650029">
                                      <w:marLeft w:val="480"/>
                                      <w:marRight w:val="0"/>
                                      <w:marTop w:val="0"/>
                                      <w:marBottom w:val="0"/>
                                      <w:divBdr>
                                        <w:top w:val="none" w:sz="0" w:space="0" w:color="auto"/>
                                        <w:left w:val="none" w:sz="0" w:space="0" w:color="auto"/>
                                        <w:bottom w:val="none" w:sz="0" w:space="0" w:color="auto"/>
                                        <w:right w:val="none" w:sz="0" w:space="0" w:color="auto"/>
                                      </w:divBdr>
                                    </w:div>
                                  </w:divsChild>
                                </w:div>
                                <w:div w:id="965235397">
                                  <w:marLeft w:val="0"/>
                                  <w:marRight w:val="0"/>
                                  <w:marTop w:val="180"/>
                                  <w:marBottom w:val="180"/>
                                  <w:divBdr>
                                    <w:top w:val="none" w:sz="0" w:space="0" w:color="auto"/>
                                    <w:left w:val="none" w:sz="0" w:space="0" w:color="auto"/>
                                    <w:bottom w:val="none" w:sz="0" w:space="0" w:color="auto"/>
                                    <w:right w:val="none" w:sz="0" w:space="0" w:color="auto"/>
                                  </w:divBdr>
                                  <w:divsChild>
                                    <w:div w:id="1863393540">
                                      <w:marLeft w:val="480"/>
                                      <w:marRight w:val="0"/>
                                      <w:marTop w:val="0"/>
                                      <w:marBottom w:val="0"/>
                                      <w:divBdr>
                                        <w:top w:val="none" w:sz="0" w:space="0" w:color="auto"/>
                                        <w:left w:val="none" w:sz="0" w:space="0" w:color="auto"/>
                                        <w:bottom w:val="none" w:sz="0" w:space="0" w:color="auto"/>
                                        <w:right w:val="none" w:sz="0" w:space="0" w:color="auto"/>
                                      </w:divBdr>
                                    </w:div>
                                  </w:divsChild>
                                </w:div>
                                <w:div w:id="301889622">
                                  <w:marLeft w:val="0"/>
                                  <w:marRight w:val="0"/>
                                  <w:marTop w:val="180"/>
                                  <w:marBottom w:val="180"/>
                                  <w:divBdr>
                                    <w:top w:val="none" w:sz="0" w:space="0" w:color="auto"/>
                                    <w:left w:val="none" w:sz="0" w:space="0" w:color="auto"/>
                                    <w:bottom w:val="none" w:sz="0" w:space="0" w:color="auto"/>
                                    <w:right w:val="none" w:sz="0" w:space="0" w:color="auto"/>
                                  </w:divBdr>
                                  <w:divsChild>
                                    <w:div w:id="2074232811">
                                      <w:marLeft w:val="480"/>
                                      <w:marRight w:val="0"/>
                                      <w:marTop w:val="0"/>
                                      <w:marBottom w:val="0"/>
                                      <w:divBdr>
                                        <w:top w:val="none" w:sz="0" w:space="0" w:color="auto"/>
                                        <w:left w:val="none" w:sz="0" w:space="0" w:color="auto"/>
                                        <w:bottom w:val="none" w:sz="0" w:space="0" w:color="auto"/>
                                        <w:right w:val="none" w:sz="0" w:space="0" w:color="auto"/>
                                      </w:divBdr>
                                    </w:div>
                                  </w:divsChild>
                                </w:div>
                                <w:div w:id="1328751416">
                                  <w:marLeft w:val="0"/>
                                  <w:marRight w:val="0"/>
                                  <w:marTop w:val="180"/>
                                  <w:marBottom w:val="0"/>
                                  <w:divBdr>
                                    <w:top w:val="none" w:sz="0" w:space="0" w:color="auto"/>
                                    <w:left w:val="none" w:sz="0" w:space="0" w:color="auto"/>
                                    <w:bottom w:val="none" w:sz="0" w:space="0" w:color="auto"/>
                                    <w:right w:val="none" w:sz="0" w:space="0" w:color="auto"/>
                                  </w:divBdr>
                                  <w:divsChild>
                                    <w:div w:id="9756415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4985669">
          <w:marLeft w:val="0"/>
          <w:marRight w:val="0"/>
          <w:marTop w:val="180"/>
          <w:marBottom w:val="180"/>
          <w:divBdr>
            <w:top w:val="none" w:sz="0" w:space="0" w:color="auto"/>
            <w:left w:val="none" w:sz="0" w:space="0" w:color="auto"/>
            <w:bottom w:val="none" w:sz="0" w:space="0" w:color="auto"/>
            <w:right w:val="none" w:sz="0" w:space="0" w:color="auto"/>
          </w:divBdr>
          <w:divsChild>
            <w:div w:id="1162311176">
              <w:marLeft w:val="480"/>
              <w:marRight w:val="0"/>
              <w:marTop w:val="0"/>
              <w:marBottom w:val="0"/>
              <w:divBdr>
                <w:top w:val="none" w:sz="0" w:space="0" w:color="auto"/>
                <w:left w:val="none" w:sz="0" w:space="0" w:color="auto"/>
                <w:bottom w:val="none" w:sz="0" w:space="0" w:color="auto"/>
                <w:right w:val="none" w:sz="0" w:space="0" w:color="auto"/>
              </w:divBdr>
              <w:divsChild>
                <w:div w:id="1186140920">
                  <w:marLeft w:val="0"/>
                  <w:marRight w:val="0"/>
                  <w:marTop w:val="0"/>
                  <w:marBottom w:val="0"/>
                  <w:divBdr>
                    <w:top w:val="none" w:sz="0" w:space="0" w:color="auto"/>
                    <w:left w:val="none" w:sz="0" w:space="0" w:color="auto"/>
                    <w:bottom w:val="none" w:sz="0" w:space="0" w:color="auto"/>
                    <w:right w:val="none" w:sz="0" w:space="0" w:color="auto"/>
                  </w:divBdr>
                  <w:divsChild>
                    <w:div w:id="283464398">
                      <w:marLeft w:val="0"/>
                      <w:marRight w:val="0"/>
                      <w:marTop w:val="180"/>
                      <w:marBottom w:val="180"/>
                      <w:divBdr>
                        <w:top w:val="none" w:sz="0" w:space="0" w:color="auto"/>
                        <w:left w:val="none" w:sz="0" w:space="0" w:color="auto"/>
                        <w:bottom w:val="none" w:sz="0" w:space="0" w:color="auto"/>
                        <w:right w:val="none" w:sz="0" w:space="0" w:color="auto"/>
                      </w:divBdr>
                      <w:divsChild>
                        <w:div w:id="776829684">
                          <w:marLeft w:val="480"/>
                          <w:marRight w:val="0"/>
                          <w:marTop w:val="0"/>
                          <w:marBottom w:val="0"/>
                          <w:divBdr>
                            <w:top w:val="none" w:sz="0" w:space="0" w:color="auto"/>
                            <w:left w:val="none" w:sz="0" w:space="0" w:color="auto"/>
                            <w:bottom w:val="none" w:sz="0" w:space="0" w:color="auto"/>
                            <w:right w:val="none" w:sz="0" w:space="0" w:color="auto"/>
                          </w:divBdr>
                        </w:div>
                      </w:divsChild>
                    </w:div>
                    <w:div w:id="1447387220">
                      <w:marLeft w:val="0"/>
                      <w:marRight w:val="0"/>
                      <w:marTop w:val="180"/>
                      <w:marBottom w:val="180"/>
                      <w:divBdr>
                        <w:top w:val="none" w:sz="0" w:space="0" w:color="auto"/>
                        <w:left w:val="none" w:sz="0" w:space="0" w:color="auto"/>
                        <w:bottom w:val="none" w:sz="0" w:space="0" w:color="auto"/>
                        <w:right w:val="none" w:sz="0" w:space="0" w:color="auto"/>
                      </w:divBdr>
                      <w:divsChild>
                        <w:div w:id="1045643698">
                          <w:marLeft w:val="480"/>
                          <w:marRight w:val="0"/>
                          <w:marTop w:val="0"/>
                          <w:marBottom w:val="0"/>
                          <w:divBdr>
                            <w:top w:val="none" w:sz="0" w:space="0" w:color="auto"/>
                            <w:left w:val="none" w:sz="0" w:space="0" w:color="auto"/>
                            <w:bottom w:val="none" w:sz="0" w:space="0" w:color="auto"/>
                            <w:right w:val="none" w:sz="0" w:space="0" w:color="auto"/>
                          </w:divBdr>
                        </w:div>
                      </w:divsChild>
                    </w:div>
                    <w:div w:id="320810982">
                      <w:marLeft w:val="0"/>
                      <w:marRight w:val="0"/>
                      <w:marTop w:val="180"/>
                      <w:marBottom w:val="180"/>
                      <w:divBdr>
                        <w:top w:val="none" w:sz="0" w:space="0" w:color="auto"/>
                        <w:left w:val="none" w:sz="0" w:space="0" w:color="auto"/>
                        <w:bottom w:val="none" w:sz="0" w:space="0" w:color="auto"/>
                        <w:right w:val="none" w:sz="0" w:space="0" w:color="auto"/>
                      </w:divBdr>
                      <w:divsChild>
                        <w:div w:id="487407981">
                          <w:marLeft w:val="480"/>
                          <w:marRight w:val="0"/>
                          <w:marTop w:val="0"/>
                          <w:marBottom w:val="0"/>
                          <w:divBdr>
                            <w:top w:val="none" w:sz="0" w:space="0" w:color="auto"/>
                            <w:left w:val="none" w:sz="0" w:space="0" w:color="auto"/>
                            <w:bottom w:val="none" w:sz="0" w:space="0" w:color="auto"/>
                            <w:right w:val="none" w:sz="0" w:space="0" w:color="auto"/>
                          </w:divBdr>
                        </w:div>
                      </w:divsChild>
                    </w:div>
                    <w:div w:id="789515858">
                      <w:marLeft w:val="0"/>
                      <w:marRight w:val="0"/>
                      <w:marTop w:val="180"/>
                      <w:marBottom w:val="180"/>
                      <w:divBdr>
                        <w:top w:val="none" w:sz="0" w:space="0" w:color="auto"/>
                        <w:left w:val="none" w:sz="0" w:space="0" w:color="auto"/>
                        <w:bottom w:val="none" w:sz="0" w:space="0" w:color="auto"/>
                        <w:right w:val="none" w:sz="0" w:space="0" w:color="auto"/>
                      </w:divBdr>
                      <w:divsChild>
                        <w:div w:id="458500680">
                          <w:marLeft w:val="480"/>
                          <w:marRight w:val="0"/>
                          <w:marTop w:val="0"/>
                          <w:marBottom w:val="0"/>
                          <w:divBdr>
                            <w:top w:val="none" w:sz="0" w:space="0" w:color="auto"/>
                            <w:left w:val="none" w:sz="0" w:space="0" w:color="auto"/>
                            <w:bottom w:val="none" w:sz="0" w:space="0" w:color="auto"/>
                            <w:right w:val="none" w:sz="0" w:space="0" w:color="auto"/>
                          </w:divBdr>
                        </w:div>
                      </w:divsChild>
                    </w:div>
                    <w:div w:id="724332252">
                      <w:marLeft w:val="0"/>
                      <w:marRight w:val="0"/>
                      <w:marTop w:val="180"/>
                      <w:marBottom w:val="180"/>
                      <w:divBdr>
                        <w:top w:val="none" w:sz="0" w:space="0" w:color="auto"/>
                        <w:left w:val="none" w:sz="0" w:space="0" w:color="auto"/>
                        <w:bottom w:val="none" w:sz="0" w:space="0" w:color="auto"/>
                        <w:right w:val="none" w:sz="0" w:space="0" w:color="auto"/>
                      </w:divBdr>
                      <w:divsChild>
                        <w:div w:id="2067751557">
                          <w:marLeft w:val="480"/>
                          <w:marRight w:val="0"/>
                          <w:marTop w:val="0"/>
                          <w:marBottom w:val="0"/>
                          <w:divBdr>
                            <w:top w:val="none" w:sz="0" w:space="0" w:color="auto"/>
                            <w:left w:val="none" w:sz="0" w:space="0" w:color="auto"/>
                            <w:bottom w:val="none" w:sz="0" w:space="0" w:color="auto"/>
                            <w:right w:val="none" w:sz="0" w:space="0" w:color="auto"/>
                          </w:divBdr>
                        </w:div>
                      </w:divsChild>
                    </w:div>
                    <w:div w:id="1189104506">
                      <w:marLeft w:val="0"/>
                      <w:marRight w:val="0"/>
                      <w:marTop w:val="180"/>
                      <w:marBottom w:val="180"/>
                      <w:divBdr>
                        <w:top w:val="none" w:sz="0" w:space="0" w:color="auto"/>
                        <w:left w:val="none" w:sz="0" w:space="0" w:color="auto"/>
                        <w:bottom w:val="none" w:sz="0" w:space="0" w:color="auto"/>
                        <w:right w:val="none" w:sz="0" w:space="0" w:color="auto"/>
                      </w:divBdr>
                      <w:divsChild>
                        <w:div w:id="328994418">
                          <w:marLeft w:val="480"/>
                          <w:marRight w:val="0"/>
                          <w:marTop w:val="0"/>
                          <w:marBottom w:val="0"/>
                          <w:divBdr>
                            <w:top w:val="none" w:sz="0" w:space="0" w:color="auto"/>
                            <w:left w:val="none" w:sz="0" w:space="0" w:color="auto"/>
                            <w:bottom w:val="none" w:sz="0" w:space="0" w:color="auto"/>
                            <w:right w:val="none" w:sz="0" w:space="0" w:color="auto"/>
                          </w:divBdr>
                        </w:div>
                      </w:divsChild>
                    </w:div>
                    <w:div w:id="259412983">
                      <w:marLeft w:val="0"/>
                      <w:marRight w:val="0"/>
                      <w:marTop w:val="180"/>
                      <w:marBottom w:val="180"/>
                      <w:divBdr>
                        <w:top w:val="none" w:sz="0" w:space="0" w:color="auto"/>
                        <w:left w:val="none" w:sz="0" w:space="0" w:color="auto"/>
                        <w:bottom w:val="none" w:sz="0" w:space="0" w:color="auto"/>
                        <w:right w:val="none" w:sz="0" w:space="0" w:color="auto"/>
                      </w:divBdr>
                      <w:divsChild>
                        <w:div w:id="931547872">
                          <w:marLeft w:val="480"/>
                          <w:marRight w:val="0"/>
                          <w:marTop w:val="0"/>
                          <w:marBottom w:val="0"/>
                          <w:divBdr>
                            <w:top w:val="none" w:sz="0" w:space="0" w:color="auto"/>
                            <w:left w:val="none" w:sz="0" w:space="0" w:color="auto"/>
                            <w:bottom w:val="none" w:sz="0" w:space="0" w:color="auto"/>
                            <w:right w:val="none" w:sz="0" w:space="0" w:color="auto"/>
                          </w:divBdr>
                        </w:div>
                      </w:divsChild>
                    </w:div>
                    <w:div w:id="900868162">
                      <w:marLeft w:val="0"/>
                      <w:marRight w:val="0"/>
                      <w:marTop w:val="180"/>
                      <w:marBottom w:val="180"/>
                      <w:divBdr>
                        <w:top w:val="none" w:sz="0" w:space="0" w:color="auto"/>
                        <w:left w:val="none" w:sz="0" w:space="0" w:color="auto"/>
                        <w:bottom w:val="none" w:sz="0" w:space="0" w:color="auto"/>
                        <w:right w:val="none" w:sz="0" w:space="0" w:color="auto"/>
                      </w:divBdr>
                      <w:divsChild>
                        <w:div w:id="2134667070">
                          <w:marLeft w:val="480"/>
                          <w:marRight w:val="0"/>
                          <w:marTop w:val="0"/>
                          <w:marBottom w:val="0"/>
                          <w:divBdr>
                            <w:top w:val="none" w:sz="0" w:space="0" w:color="auto"/>
                            <w:left w:val="none" w:sz="0" w:space="0" w:color="auto"/>
                            <w:bottom w:val="none" w:sz="0" w:space="0" w:color="auto"/>
                            <w:right w:val="none" w:sz="0" w:space="0" w:color="auto"/>
                          </w:divBdr>
                          <w:divsChild>
                            <w:div w:id="1707563564">
                              <w:marLeft w:val="0"/>
                              <w:marRight w:val="0"/>
                              <w:marTop w:val="0"/>
                              <w:marBottom w:val="0"/>
                              <w:divBdr>
                                <w:top w:val="none" w:sz="0" w:space="0" w:color="auto"/>
                                <w:left w:val="none" w:sz="0" w:space="0" w:color="auto"/>
                                <w:bottom w:val="none" w:sz="0" w:space="0" w:color="auto"/>
                                <w:right w:val="none" w:sz="0" w:space="0" w:color="auto"/>
                              </w:divBdr>
                              <w:divsChild>
                                <w:div w:id="849681382">
                                  <w:marLeft w:val="0"/>
                                  <w:marRight w:val="0"/>
                                  <w:marTop w:val="0"/>
                                  <w:marBottom w:val="0"/>
                                  <w:divBdr>
                                    <w:top w:val="none" w:sz="0" w:space="0" w:color="auto"/>
                                    <w:left w:val="none" w:sz="0" w:space="0" w:color="auto"/>
                                    <w:bottom w:val="none" w:sz="0" w:space="0" w:color="auto"/>
                                    <w:right w:val="none" w:sz="0" w:space="0" w:color="auto"/>
                                  </w:divBdr>
                                  <w:divsChild>
                                    <w:div w:id="121072685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75113">
                      <w:marLeft w:val="0"/>
                      <w:marRight w:val="0"/>
                      <w:marTop w:val="180"/>
                      <w:marBottom w:val="0"/>
                      <w:divBdr>
                        <w:top w:val="none" w:sz="0" w:space="0" w:color="auto"/>
                        <w:left w:val="none" w:sz="0" w:space="0" w:color="auto"/>
                        <w:bottom w:val="none" w:sz="0" w:space="0" w:color="auto"/>
                        <w:right w:val="none" w:sz="0" w:space="0" w:color="auto"/>
                      </w:divBdr>
                      <w:divsChild>
                        <w:div w:id="928584662">
                          <w:marLeft w:val="480"/>
                          <w:marRight w:val="0"/>
                          <w:marTop w:val="0"/>
                          <w:marBottom w:val="0"/>
                          <w:divBdr>
                            <w:top w:val="none" w:sz="0" w:space="0" w:color="auto"/>
                            <w:left w:val="none" w:sz="0" w:space="0" w:color="auto"/>
                            <w:bottom w:val="none" w:sz="0" w:space="0" w:color="auto"/>
                            <w:right w:val="none" w:sz="0" w:space="0" w:color="auto"/>
                          </w:divBdr>
                          <w:divsChild>
                            <w:div w:id="313485561">
                              <w:marLeft w:val="0"/>
                              <w:marRight w:val="0"/>
                              <w:marTop w:val="0"/>
                              <w:marBottom w:val="0"/>
                              <w:divBdr>
                                <w:top w:val="none" w:sz="0" w:space="0" w:color="auto"/>
                                <w:left w:val="none" w:sz="0" w:space="0" w:color="auto"/>
                                <w:bottom w:val="none" w:sz="0" w:space="0" w:color="auto"/>
                                <w:right w:val="none" w:sz="0" w:space="0" w:color="auto"/>
                              </w:divBdr>
                              <w:divsChild>
                                <w:div w:id="1442870938">
                                  <w:marLeft w:val="0"/>
                                  <w:marRight w:val="0"/>
                                  <w:marTop w:val="180"/>
                                  <w:marBottom w:val="180"/>
                                  <w:divBdr>
                                    <w:top w:val="none" w:sz="0" w:space="0" w:color="auto"/>
                                    <w:left w:val="none" w:sz="0" w:space="0" w:color="auto"/>
                                    <w:bottom w:val="none" w:sz="0" w:space="0" w:color="auto"/>
                                    <w:right w:val="none" w:sz="0" w:space="0" w:color="auto"/>
                                  </w:divBdr>
                                  <w:divsChild>
                                    <w:div w:id="2106074087">
                                      <w:marLeft w:val="480"/>
                                      <w:marRight w:val="0"/>
                                      <w:marTop w:val="0"/>
                                      <w:marBottom w:val="0"/>
                                      <w:divBdr>
                                        <w:top w:val="none" w:sz="0" w:space="0" w:color="auto"/>
                                        <w:left w:val="none" w:sz="0" w:space="0" w:color="auto"/>
                                        <w:bottom w:val="none" w:sz="0" w:space="0" w:color="auto"/>
                                        <w:right w:val="none" w:sz="0" w:space="0" w:color="auto"/>
                                      </w:divBdr>
                                    </w:div>
                                  </w:divsChild>
                                </w:div>
                                <w:div w:id="1088623541">
                                  <w:marLeft w:val="0"/>
                                  <w:marRight w:val="0"/>
                                  <w:marTop w:val="180"/>
                                  <w:marBottom w:val="0"/>
                                  <w:divBdr>
                                    <w:top w:val="none" w:sz="0" w:space="0" w:color="auto"/>
                                    <w:left w:val="none" w:sz="0" w:space="0" w:color="auto"/>
                                    <w:bottom w:val="none" w:sz="0" w:space="0" w:color="auto"/>
                                    <w:right w:val="none" w:sz="0" w:space="0" w:color="auto"/>
                                  </w:divBdr>
                                  <w:divsChild>
                                    <w:div w:id="1860214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60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1585</Words>
  <Characters>8860</Characters>
  <Application>Microsoft Office Word</Application>
  <DocSecurity>0</DocSecurity>
  <Lines>210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Lanute</dc:creator>
  <cp:keywords/>
  <dc:description/>
  <cp:lastModifiedBy>Alim Parks</cp:lastModifiedBy>
  <cp:revision>7</cp:revision>
  <cp:lastPrinted>2022-03-04T17:30:00Z</cp:lastPrinted>
  <dcterms:created xsi:type="dcterms:W3CDTF">2026-02-02T15:12:00Z</dcterms:created>
  <dcterms:modified xsi:type="dcterms:W3CDTF">2026-02-06T19:32:00Z</dcterms:modified>
</cp:coreProperties>
</file>